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F0680C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HOSPITAL REGIONAL DEL LÍBANO E.S.E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Pr="000A5CEE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0A5CEE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 w:rsidRPr="000A5CEE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 w:rsidRPr="000A5CEE">
        <w:rPr>
          <w:rFonts w:ascii="Tahoma" w:hAnsi="Tahoma" w:cs="Tahoma"/>
          <w:b w:val="0"/>
          <w:sz w:val="22"/>
          <w:szCs w:val="22"/>
        </w:rPr>
        <w:t>.</w:t>
      </w:r>
    </w:p>
    <w:p w:rsidR="009D4B99" w:rsidRPr="000A5CEE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 w:rsidRPr="000A5CEE">
        <w:rPr>
          <w:lang w:val="es-ES" w:eastAsia="es-ES"/>
        </w:rPr>
        <w:tab/>
      </w:r>
      <w:r w:rsidR="00736B63" w:rsidRPr="000A5CEE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0A5CEE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0A5CEE">
        <w:rPr>
          <w:rFonts w:ascii="Tahoma" w:hAnsi="Tahoma" w:cs="Tahoma"/>
          <w:color w:val="000000" w:themeColor="text1"/>
        </w:rPr>
        <w:t>rmación Financiera Pública Chip</w:t>
      </w:r>
      <w:r w:rsidR="00485A4C" w:rsidRPr="000A5CEE">
        <w:rPr>
          <w:rFonts w:ascii="Tahoma" w:hAnsi="Tahoma" w:cs="Tahoma"/>
          <w:color w:val="000000" w:themeColor="text1"/>
        </w:rPr>
        <w:t xml:space="preserve">, información de la Contraloría General de la República y la </w:t>
      </w:r>
      <w:r w:rsidR="00EC36EF" w:rsidRPr="000A5CEE">
        <w:rPr>
          <w:rFonts w:ascii="Tahoma" w:hAnsi="Tahoma" w:cs="Tahoma"/>
          <w:color w:val="000000" w:themeColor="text1"/>
        </w:rPr>
        <w:t xml:space="preserve">información presupuestal suministrada por el </w:t>
      </w:r>
      <w:r w:rsidR="00005207" w:rsidRPr="000A5CEE">
        <w:rPr>
          <w:rFonts w:ascii="Tahoma" w:hAnsi="Tahoma" w:cs="Tahoma"/>
          <w:color w:val="000000" w:themeColor="text1"/>
        </w:rPr>
        <w:t>la Empresa Social del Estado</w:t>
      </w:r>
      <w:r w:rsidR="00EC36EF" w:rsidRPr="000A5CEE">
        <w:rPr>
          <w:rFonts w:ascii="Tahoma" w:hAnsi="Tahoma" w:cs="Tahoma"/>
          <w:color w:val="000000" w:themeColor="text1"/>
        </w:rPr>
        <w:t>.</w:t>
      </w: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 y 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del </w:t>
      </w:r>
      <w:r w:rsidR="00F0680C">
        <w:rPr>
          <w:rFonts w:ascii="Tahoma" w:hAnsi="Tahoma" w:cs="Tahoma"/>
          <w:color w:val="auto"/>
        </w:rPr>
        <w:t>Hospital Regional del Líbano E.S.E</w:t>
      </w:r>
      <w:r w:rsidR="00EC36EF" w:rsidRPr="00231ECA">
        <w:rPr>
          <w:rFonts w:ascii="Tahoma" w:hAnsi="Tahoma" w:cs="Tahoma"/>
          <w:color w:val="auto"/>
        </w:rPr>
        <w:t xml:space="preserve">, fue aprobado por </w:t>
      </w:r>
      <w:r w:rsidR="000A5CEE">
        <w:rPr>
          <w:rFonts w:ascii="Tahoma" w:hAnsi="Tahoma" w:cs="Tahoma"/>
          <w:color w:val="auto"/>
        </w:rPr>
        <w:t>la</w:t>
      </w:r>
      <w:r w:rsidR="006D2832">
        <w:rPr>
          <w:rFonts w:ascii="Tahoma" w:hAnsi="Tahoma" w:cs="Tahoma"/>
          <w:color w:val="auto"/>
        </w:rPr>
        <w:t xml:space="preserve"> Junta Directiva</w:t>
      </w:r>
      <w:r w:rsidRPr="00231ECA">
        <w:rPr>
          <w:rFonts w:ascii="Tahoma" w:hAnsi="Tahoma" w:cs="Tahoma"/>
          <w:color w:val="auto"/>
        </w:rPr>
        <w:t xml:space="preserve"> mediante A</w:t>
      </w:r>
      <w:r w:rsidR="00425F29">
        <w:rPr>
          <w:rFonts w:ascii="Tahoma" w:hAnsi="Tahoma" w:cs="Tahoma"/>
          <w:color w:val="auto"/>
        </w:rPr>
        <w:t xml:space="preserve">cto </w:t>
      </w:r>
      <w:r w:rsidR="00C50D7D" w:rsidRPr="000A5CEE">
        <w:rPr>
          <w:rFonts w:ascii="Tahoma" w:hAnsi="Tahoma" w:cs="Tahoma"/>
          <w:color w:val="auto"/>
        </w:rPr>
        <w:t>A</w:t>
      </w:r>
      <w:r w:rsidR="00425F29" w:rsidRPr="000A5CEE">
        <w:rPr>
          <w:rFonts w:ascii="Tahoma" w:hAnsi="Tahoma" w:cs="Tahoma"/>
          <w:color w:val="auto"/>
        </w:rPr>
        <w:t xml:space="preserve">dministrativo </w:t>
      </w:r>
      <w:r w:rsidRPr="000A5CEE">
        <w:rPr>
          <w:rFonts w:ascii="Tahoma" w:hAnsi="Tahoma" w:cs="Tahoma"/>
          <w:color w:val="auto"/>
        </w:rPr>
        <w:t>No.</w:t>
      </w:r>
      <w:r w:rsidR="00AD0C4B" w:rsidRPr="006D2832">
        <w:rPr>
          <w:rFonts w:ascii="Tahoma" w:hAnsi="Tahoma" w:cs="Tahoma"/>
          <w:b/>
          <w:color w:val="auto"/>
        </w:rPr>
        <w:t xml:space="preserve"> </w:t>
      </w:r>
      <w:r w:rsidR="007F40C8" w:rsidRPr="006D2832">
        <w:rPr>
          <w:rFonts w:ascii="Tahoma" w:hAnsi="Tahoma" w:cs="Tahoma"/>
          <w:b/>
          <w:color w:val="auto"/>
        </w:rPr>
        <w:t>0</w:t>
      </w:r>
      <w:r w:rsidR="00997599">
        <w:rPr>
          <w:rFonts w:ascii="Tahoma" w:hAnsi="Tahoma" w:cs="Tahoma"/>
          <w:b/>
          <w:color w:val="auto"/>
        </w:rPr>
        <w:t>1</w:t>
      </w:r>
      <w:r w:rsidR="001F7FC1">
        <w:rPr>
          <w:rFonts w:ascii="Tahoma" w:hAnsi="Tahoma" w:cs="Tahoma"/>
          <w:b/>
          <w:color w:val="auto"/>
        </w:rPr>
        <w:t>9</w:t>
      </w:r>
      <w:r w:rsidR="00425F29" w:rsidRPr="006D2832">
        <w:rPr>
          <w:rFonts w:ascii="Tahoma" w:hAnsi="Tahoma" w:cs="Tahoma"/>
          <w:b/>
          <w:color w:val="auto"/>
        </w:rPr>
        <w:t xml:space="preserve"> </w:t>
      </w:r>
      <w:r w:rsidRPr="000A5CEE">
        <w:rPr>
          <w:rFonts w:ascii="Tahoma" w:hAnsi="Tahoma" w:cs="Tahoma"/>
          <w:color w:val="auto"/>
        </w:rPr>
        <w:t>de</w:t>
      </w:r>
      <w:r w:rsidR="007F40C8" w:rsidRPr="000A5CEE">
        <w:rPr>
          <w:rFonts w:ascii="Tahoma" w:hAnsi="Tahoma" w:cs="Tahoma"/>
          <w:color w:val="auto"/>
        </w:rPr>
        <w:t xml:space="preserve">l </w:t>
      </w:r>
      <w:r w:rsidR="00997599" w:rsidRPr="000A5CEE">
        <w:rPr>
          <w:rFonts w:ascii="Tahoma" w:hAnsi="Tahoma" w:cs="Tahoma"/>
          <w:color w:val="auto"/>
        </w:rPr>
        <w:t>25</w:t>
      </w:r>
      <w:r w:rsidR="0010060F" w:rsidRPr="000A5CEE">
        <w:rPr>
          <w:rFonts w:ascii="Tahoma" w:hAnsi="Tahoma" w:cs="Tahoma"/>
          <w:color w:val="auto"/>
        </w:rPr>
        <w:t xml:space="preserve"> </w:t>
      </w:r>
      <w:r w:rsidR="007F40C8" w:rsidRPr="000A5CEE">
        <w:rPr>
          <w:rFonts w:ascii="Tahoma" w:hAnsi="Tahoma" w:cs="Tahoma"/>
          <w:color w:val="auto"/>
        </w:rPr>
        <w:t>de</w:t>
      </w:r>
      <w:r w:rsidR="006D7C83" w:rsidRPr="000A5CEE">
        <w:rPr>
          <w:rFonts w:ascii="Tahoma" w:hAnsi="Tahoma" w:cs="Tahoma"/>
          <w:color w:val="auto"/>
        </w:rPr>
        <w:t xml:space="preserve"> </w:t>
      </w:r>
      <w:r w:rsidR="00997599" w:rsidRPr="000A5CEE">
        <w:rPr>
          <w:rFonts w:ascii="Tahoma" w:hAnsi="Tahoma" w:cs="Tahoma"/>
          <w:color w:val="auto"/>
        </w:rPr>
        <w:t xml:space="preserve">Noviembre </w:t>
      </w:r>
      <w:r w:rsidR="007F40C8" w:rsidRPr="000A5CEE">
        <w:rPr>
          <w:rFonts w:ascii="Tahoma" w:hAnsi="Tahoma" w:cs="Tahoma"/>
          <w:color w:val="auto"/>
        </w:rPr>
        <w:t>de</w:t>
      </w:r>
      <w:r w:rsidR="006D7C83" w:rsidRPr="000A5CEE">
        <w:rPr>
          <w:rFonts w:ascii="Tahoma" w:hAnsi="Tahoma" w:cs="Tahoma"/>
          <w:color w:val="auto"/>
        </w:rPr>
        <w:t xml:space="preserve"> 201</w:t>
      </w:r>
      <w:r w:rsidR="00AD0C4B" w:rsidRPr="000A5CEE">
        <w:rPr>
          <w:rFonts w:ascii="Tahoma" w:hAnsi="Tahoma" w:cs="Tahoma"/>
          <w:color w:val="auto"/>
        </w:rPr>
        <w:t>4</w:t>
      </w:r>
      <w:r w:rsidR="00C50D7D">
        <w:rPr>
          <w:rFonts w:ascii="Tahoma" w:hAnsi="Tahoma" w:cs="Tahoma"/>
          <w:b/>
          <w:color w:val="auto"/>
        </w:rPr>
        <w:t xml:space="preserve"> </w:t>
      </w:r>
      <w:r w:rsidR="00C50D7D" w:rsidRPr="00217A03">
        <w:rPr>
          <w:rFonts w:ascii="Tahoma" w:hAnsi="Tahoma" w:cs="Tahoma"/>
          <w:color w:val="auto"/>
        </w:rPr>
        <w:t>y</w:t>
      </w:r>
      <w:r w:rsidR="00C50D7D">
        <w:rPr>
          <w:rFonts w:ascii="Tahoma" w:hAnsi="Tahoma" w:cs="Tahoma"/>
          <w:b/>
          <w:color w:val="auto"/>
        </w:rPr>
        <w:t xml:space="preserve"> </w:t>
      </w:r>
      <w:r w:rsidR="000A5CEE" w:rsidRPr="000A5CEE">
        <w:rPr>
          <w:rFonts w:ascii="Tahoma" w:hAnsi="Tahoma" w:cs="Tahoma"/>
          <w:color w:val="auto"/>
        </w:rPr>
        <w:t>liquidado</w:t>
      </w:r>
      <w:r w:rsidR="00C50D7D">
        <w:rPr>
          <w:rFonts w:ascii="Tahoma" w:hAnsi="Tahoma" w:cs="Tahoma"/>
          <w:color w:val="auto"/>
        </w:rPr>
        <w:t xml:space="preserve"> mediante </w:t>
      </w:r>
      <w:r w:rsidR="00C50D7D" w:rsidRPr="000A5CEE">
        <w:rPr>
          <w:rFonts w:ascii="Tahoma" w:hAnsi="Tahoma" w:cs="Tahoma"/>
          <w:color w:val="auto"/>
        </w:rPr>
        <w:t>Acto Administrativo</w:t>
      </w:r>
      <w:r w:rsidR="00C50D7D" w:rsidRPr="006D2832">
        <w:rPr>
          <w:rFonts w:ascii="Tahoma" w:hAnsi="Tahoma" w:cs="Tahoma"/>
          <w:b/>
          <w:color w:val="auto"/>
        </w:rPr>
        <w:t xml:space="preserve"> </w:t>
      </w:r>
      <w:r w:rsidR="001F7FC1">
        <w:rPr>
          <w:rFonts w:ascii="Tahoma" w:hAnsi="Tahoma" w:cs="Tahoma"/>
          <w:b/>
          <w:color w:val="auto"/>
        </w:rPr>
        <w:t>018</w:t>
      </w:r>
      <w:r w:rsidR="006D2832">
        <w:rPr>
          <w:rFonts w:ascii="Tahoma" w:hAnsi="Tahoma" w:cs="Tahoma"/>
          <w:b/>
          <w:color w:val="auto"/>
        </w:rPr>
        <w:t xml:space="preserve"> </w:t>
      </w:r>
      <w:r w:rsidR="006D2832" w:rsidRPr="000A5CEE">
        <w:rPr>
          <w:rFonts w:ascii="Tahoma" w:hAnsi="Tahoma" w:cs="Tahoma"/>
          <w:color w:val="auto"/>
        </w:rPr>
        <w:t xml:space="preserve">del </w:t>
      </w:r>
      <w:r w:rsidR="001F7FC1" w:rsidRPr="000A5CEE">
        <w:rPr>
          <w:rFonts w:ascii="Tahoma" w:hAnsi="Tahoma" w:cs="Tahoma"/>
          <w:color w:val="auto"/>
        </w:rPr>
        <w:t>25 de Noviembre de 2014</w:t>
      </w:r>
      <w:r w:rsidR="00EC36EF" w:rsidRPr="000A5CEE">
        <w:rPr>
          <w:rFonts w:ascii="Tahoma" w:hAnsi="Tahoma" w:cs="Tahoma"/>
          <w:color w:val="auto"/>
        </w:rPr>
        <w:t>,</w:t>
      </w:r>
      <w:r w:rsidR="00EC36EF" w:rsidRPr="00A6547B">
        <w:rPr>
          <w:rFonts w:ascii="Tahoma" w:hAnsi="Tahoma" w:cs="Tahoma"/>
          <w:color w:val="auto"/>
        </w:rPr>
        <w:t xml:space="preserve"> </w:t>
      </w:r>
      <w:r w:rsidR="006A0F41" w:rsidRPr="00A6547B">
        <w:rPr>
          <w:rFonts w:ascii="Tahoma" w:hAnsi="Tahoma" w:cs="Tahoma"/>
          <w:color w:val="auto"/>
        </w:rPr>
        <w:t>en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BE5368">
        <w:rPr>
          <w:rFonts w:ascii="Tahoma" w:hAnsi="Tahoma" w:cs="Tahoma"/>
          <w:b/>
          <w:color w:val="auto"/>
        </w:rPr>
        <w:t xml:space="preserve">DIECISÉIS MIL DOSCIENTOS CUARENTA Y TRES MILLONES NOVECIENTOS VEINTE MIL CUATROCIENTOS SESENTA Y NUEVE PESOS </w:t>
      </w:r>
      <w:r w:rsidR="00BE5368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BE5368" w:rsidRPr="00BE5368">
        <w:rPr>
          <w:rFonts w:ascii="Tahoma" w:hAnsi="Tahoma" w:cs="Tahoma"/>
          <w:b/>
          <w:color w:val="auto"/>
        </w:rPr>
        <w:t>16.243.920.469</w:t>
      </w:r>
      <w:r w:rsidR="006A0F41" w:rsidRPr="00231ECA">
        <w:rPr>
          <w:rFonts w:ascii="Tahoma" w:hAnsi="Tahoma" w:cs="Tahoma"/>
          <w:b/>
          <w:color w:val="auto"/>
        </w:rPr>
        <w:t>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E97BD8">
        <w:rPr>
          <w:rFonts w:ascii="Tahoma" w:eastAsiaTheme="minorHAnsi" w:hAnsi="Tahoma" w:cs="Tahoma"/>
          <w:color w:val="auto"/>
          <w:lang w:eastAsia="en-US"/>
        </w:rPr>
        <w:t xml:space="preserve">El presupuesto </w:t>
      </w:r>
      <w:r w:rsidR="007C6E41" w:rsidRPr="00E97BD8">
        <w:rPr>
          <w:rFonts w:ascii="Tahoma" w:eastAsiaTheme="minorHAnsi" w:hAnsi="Tahoma" w:cs="Tahoma"/>
          <w:color w:val="auto"/>
          <w:lang w:eastAsia="en-US"/>
        </w:rPr>
        <w:t>de las Entidades</w:t>
      </w:r>
      <w:r w:rsidRPr="00E97BD8">
        <w:rPr>
          <w:rFonts w:ascii="Tahoma" w:eastAsiaTheme="minorHAnsi" w:hAnsi="Tahoma" w:cs="Tahoma"/>
          <w:color w:val="auto"/>
          <w:lang w:eastAsia="en-US"/>
        </w:rPr>
        <w:t>, es por excelencia una de las principales herramientas de planeación</w:t>
      </w:r>
      <w:r w:rsidR="00AE23D3" w:rsidRPr="00E97BD8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E97BD8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E97BD8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E97BD8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E97BD8">
        <w:rPr>
          <w:rFonts w:ascii="Tahoma" w:eastAsiaTheme="minorHAnsi" w:hAnsi="Tahoma" w:cs="Tahoma"/>
          <w:color w:val="auto"/>
          <w:lang w:eastAsia="en-US"/>
        </w:rPr>
        <w:t xml:space="preserve">Proyectar los ingresos y rentas a percibir durante la vigencia fiscal y autorizar los respectivos gastos e inversiones; Atender criterios de prioridad, de los programas y proyectos contenidos en el Plan </w:t>
      </w:r>
      <w:r w:rsidR="007C6E41" w:rsidRPr="00E97BD8">
        <w:rPr>
          <w:rFonts w:ascii="Tahoma" w:eastAsiaTheme="minorHAnsi" w:hAnsi="Tahoma" w:cs="Tahoma"/>
          <w:color w:val="auto"/>
          <w:lang w:eastAsia="en-US"/>
        </w:rPr>
        <w:t>Estratégico</w:t>
      </w:r>
      <w:r w:rsidR="00EF0F9F" w:rsidRPr="00E97BD8">
        <w:rPr>
          <w:rFonts w:ascii="Tahoma" w:eastAsiaTheme="minorHAnsi" w:hAnsi="Tahoma" w:cs="Tahoma"/>
          <w:color w:val="auto"/>
          <w:lang w:eastAsia="en-US"/>
        </w:rPr>
        <w:t>, y</w:t>
      </w:r>
      <w:r w:rsidR="00CA669B" w:rsidRPr="00E97BD8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E97BD8">
        <w:rPr>
          <w:rFonts w:ascii="Tahoma" w:eastAsiaTheme="minorHAnsi" w:hAnsi="Tahoma" w:cs="Tahoma"/>
          <w:color w:val="auto"/>
          <w:lang w:eastAsia="en-US"/>
        </w:rPr>
        <w:t xml:space="preserve">Alcanzar objetivos financieros, que no son otra cosa que adecuar el comportamiento real de los ingresos a las proyecciones contenidas </w:t>
      </w:r>
      <w:r w:rsidR="007C6E41" w:rsidRPr="00E97BD8">
        <w:rPr>
          <w:rFonts w:ascii="Tahoma" w:eastAsiaTheme="minorHAnsi" w:hAnsi="Tahoma" w:cs="Tahoma"/>
          <w:color w:val="auto"/>
          <w:lang w:eastAsia="en-US"/>
        </w:rPr>
        <w:t>dicho Plan</w:t>
      </w:r>
      <w:r w:rsidR="00EF0F9F" w:rsidRPr="00E97BD8">
        <w:rPr>
          <w:rFonts w:ascii="Tahoma" w:eastAsiaTheme="minorHAnsi" w:hAnsi="Tahoma" w:cs="Tahoma"/>
          <w:color w:val="auto"/>
          <w:lang w:eastAsia="en-US"/>
        </w:rPr>
        <w:t>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lastRenderedPageBreak/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 xml:space="preserve">el </w:t>
      </w:r>
      <w:r w:rsidR="00F0680C">
        <w:rPr>
          <w:rFonts w:ascii="Tahoma" w:hAnsi="Tahoma" w:cs="Tahoma"/>
        </w:rPr>
        <w:t>Hospital Regional del Líbano E.S.E</w:t>
      </w:r>
      <w:r w:rsidR="001734CC">
        <w:rPr>
          <w:rFonts w:ascii="Tahoma" w:hAnsi="Tahoma" w:cs="Tahoma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C86BF5">
        <w:rPr>
          <w:rFonts w:ascii="Tahoma" w:hAnsi="Tahoma" w:cs="Tahoma"/>
        </w:rPr>
        <w:t xml:space="preserve">de </w:t>
      </w:r>
      <w:r w:rsidR="00C86BF5" w:rsidRPr="00231ECA">
        <w:rPr>
          <w:rFonts w:ascii="Tahoma" w:hAnsi="Tahoma" w:cs="Tahoma"/>
          <w:b/>
          <w:color w:val="auto"/>
        </w:rPr>
        <w:t>$</w:t>
      </w:r>
      <w:r w:rsidR="00C86BF5" w:rsidRPr="00BE5368">
        <w:rPr>
          <w:rFonts w:ascii="Tahoma" w:hAnsi="Tahoma" w:cs="Tahoma"/>
          <w:b/>
          <w:color w:val="auto"/>
        </w:rPr>
        <w:t>16.243.920.469</w:t>
      </w:r>
      <w:r w:rsidR="00E97BD8">
        <w:rPr>
          <w:rFonts w:ascii="Tahoma" w:hAnsi="Tahoma" w:cs="Tahoma"/>
          <w:b/>
          <w:color w:val="auto"/>
        </w:rPr>
        <w:t>.</w:t>
      </w:r>
      <w:r w:rsidR="00E97BD8">
        <w:rPr>
          <w:rFonts w:ascii="Tahoma" w:hAnsi="Tahoma" w:cs="Tahoma"/>
          <w:b/>
        </w:rPr>
        <w:t>oo,</w:t>
      </w:r>
      <w:r w:rsidR="00174ED6">
        <w:rPr>
          <w:rFonts w:ascii="Tahoma" w:hAnsi="Tahoma" w:cs="Tahoma"/>
          <w:b/>
        </w:rPr>
        <w:t xml:space="preserve"> </w:t>
      </w:r>
      <w:r w:rsidR="009848DF" w:rsidRPr="00DA6502">
        <w:rPr>
          <w:rFonts w:ascii="Tahoma" w:hAnsi="Tahoma" w:cs="Tahoma"/>
          <w:color w:val="auto"/>
        </w:rPr>
        <w:t xml:space="preserve">presentó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presupuestales por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DD4DC9" w:rsidRPr="00DD4DC9">
        <w:rPr>
          <w:rFonts w:ascii="Tahoma" w:eastAsia="Times New Roman" w:hAnsi="Tahoma" w:cs="Tahoma"/>
          <w:b/>
          <w:bCs/>
          <w:color w:val="auto"/>
        </w:rPr>
        <w:t>7.389.274.881</w:t>
      </w:r>
      <w:r w:rsidR="00E97BD8">
        <w:rPr>
          <w:rFonts w:ascii="Tahoma" w:hAnsi="Tahoma" w:cs="Tahoma"/>
          <w:b/>
          <w:color w:val="auto"/>
        </w:rPr>
        <w:t>.oo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DA6502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DB3E9F" w:rsidRPr="00DB3E9F">
        <w:rPr>
          <w:rFonts w:ascii="Tahoma" w:eastAsia="Times New Roman" w:hAnsi="Tahoma" w:cs="Tahoma"/>
          <w:b/>
          <w:bCs/>
          <w:color w:val="auto"/>
        </w:rPr>
        <w:t xml:space="preserve"> </w:t>
      </w:r>
      <w:r w:rsidR="00DB3E9F">
        <w:rPr>
          <w:rFonts w:ascii="Tahoma" w:eastAsia="Times New Roman" w:hAnsi="Tahoma" w:cs="Tahoma"/>
          <w:b/>
          <w:bCs/>
          <w:color w:val="auto"/>
        </w:rPr>
        <w:t>$</w:t>
      </w:r>
      <w:r w:rsidR="00DD4DC9" w:rsidRPr="00DD4DC9">
        <w:rPr>
          <w:rFonts w:ascii="Tahoma" w:eastAsia="Times New Roman" w:hAnsi="Tahoma" w:cs="Tahoma"/>
          <w:b/>
          <w:bCs/>
          <w:color w:val="auto"/>
        </w:rPr>
        <w:t>23.633.195.350</w:t>
      </w:r>
      <w:r w:rsidR="00E97BD8">
        <w:rPr>
          <w:rFonts w:ascii="Tahoma" w:eastAsia="Times New Roman" w:hAnsi="Tahoma" w:cs="Tahoma"/>
          <w:b/>
          <w:bCs/>
          <w:color w:val="auto"/>
        </w:rPr>
        <w:t>.oo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448"/>
        <w:gridCol w:w="2250"/>
        <w:gridCol w:w="1931"/>
        <w:gridCol w:w="2428"/>
      </w:tblGrid>
      <w:tr w:rsidR="008B0625" w:rsidRPr="00BA1DE4" w:rsidTr="00DB3E9F">
        <w:trPr>
          <w:trHeight w:val="327"/>
        </w:trPr>
        <w:tc>
          <w:tcPr>
            <w:tcW w:w="244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50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31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DB3E9F">
        <w:trPr>
          <w:trHeight w:val="551"/>
        </w:trPr>
        <w:tc>
          <w:tcPr>
            <w:tcW w:w="2448" w:type="dxa"/>
          </w:tcPr>
          <w:p w:rsidR="008B0625" w:rsidRPr="00E97BD8" w:rsidRDefault="00C81A7B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hAnsi="Tahoma" w:cs="Tahoma"/>
                <w:color w:val="auto"/>
              </w:rPr>
              <w:t>$16.243.920.469</w:t>
            </w:r>
            <w:r w:rsidR="00E97BD8" w:rsidRPr="00E97BD8">
              <w:rPr>
                <w:rFonts w:ascii="Tahoma" w:hAnsi="Tahoma" w:cs="Tahoma"/>
                <w:color w:val="auto"/>
              </w:rPr>
              <w:t>.oo</w:t>
            </w:r>
          </w:p>
        </w:tc>
        <w:tc>
          <w:tcPr>
            <w:tcW w:w="2250" w:type="dxa"/>
          </w:tcPr>
          <w:p w:rsidR="008B0625" w:rsidRPr="00E97BD8" w:rsidRDefault="00C81A7B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eastAsia="Times New Roman" w:hAnsi="Tahoma" w:cs="Tahoma"/>
                <w:bCs/>
                <w:color w:val="auto"/>
              </w:rPr>
              <w:t>$7.389.274.881</w:t>
            </w:r>
            <w:r w:rsidR="00E97BD8" w:rsidRPr="00E97BD8">
              <w:rPr>
                <w:rFonts w:ascii="Tahoma" w:eastAsia="Times New Roman" w:hAnsi="Tahoma" w:cs="Tahoma"/>
                <w:bCs/>
                <w:color w:val="auto"/>
              </w:rPr>
              <w:t>.oo</w:t>
            </w:r>
          </w:p>
        </w:tc>
        <w:tc>
          <w:tcPr>
            <w:tcW w:w="1931" w:type="dxa"/>
          </w:tcPr>
          <w:p w:rsidR="008B0625" w:rsidRPr="00E97BD8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eastAsia="Times New Roman" w:hAnsi="Tahoma" w:cs="Tahoma"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8B0625" w:rsidRPr="00E97BD8" w:rsidRDefault="00C81A7B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eastAsia="Times New Roman" w:hAnsi="Tahoma" w:cs="Tahoma"/>
                <w:bCs/>
                <w:color w:val="auto"/>
              </w:rPr>
              <w:t>$23.633.195.350</w:t>
            </w:r>
            <w:r w:rsidR="00E97BD8" w:rsidRPr="00E97BD8">
              <w:rPr>
                <w:rFonts w:ascii="Tahoma" w:eastAsia="Times New Roman" w:hAnsi="Tahoma" w:cs="Tahoma"/>
                <w:bCs/>
                <w:color w:val="auto"/>
              </w:rPr>
              <w:t>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del</w:t>
      </w:r>
      <w:r w:rsidR="00367349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F0680C">
        <w:rPr>
          <w:rFonts w:ascii="Tahoma" w:eastAsia="Times New Roman" w:hAnsi="Tahoma" w:cs="Tahoma"/>
          <w:bCs/>
          <w:color w:val="auto"/>
          <w:vertAlign w:val="subscript"/>
        </w:rPr>
        <w:t>Hospital Regional del Líbano E.S.E</w:t>
      </w:r>
      <w:r w:rsidR="00367349"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>
        <w:rPr>
          <w:rFonts w:ascii="Tahoma" w:eastAsia="Times New Roman" w:hAnsi="Tahoma" w:cs="Tahoma"/>
          <w:bCs/>
          <w:color w:val="auto"/>
          <w:vertAlign w:val="subscript"/>
        </w:rPr>
        <w:t>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390EFDCC" wp14:editId="0F2B43CB">
            <wp:extent cx="5410200" cy="3840480"/>
            <wp:effectExtent l="0" t="0" r="0" b="762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E97BD8" w:rsidRDefault="00E97BD8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E97BD8" w:rsidRDefault="00E97BD8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9A7AA1" w:rsidRDefault="00CA6501" w:rsidP="003F0EBC">
      <w:pPr>
        <w:jc w:val="center"/>
        <w:rPr>
          <w:rFonts w:ascii="Tahoma" w:eastAsia="Times New Roman" w:hAnsi="Tahoma" w:cs="Tahoma"/>
          <w:color w:val="auto"/>
        </w:rPr>
      </w:pPr>
      <w:r w:rsidRPr="00CA6501">
        <w:rPr>
          <w:noProof/>
        </w:rPr>
        <w:drawing>
          <wp:inline distT="0" distB="0" distL="0" distR="0">
            <wp:extent cx="3920918" cy="3135086"/>
            <wp:effectExtent l="0" t="0" r="3810" b="825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694" cy="315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01" w:rsidRDefault="00CA6501" w:rsidP="00591B11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>El presupuesto Inicial de i</w:t>
      </w:r>
      <w:r w:rsidR="003F0EBC">
        <w:rPr>
          <w:rFonts w:ascii="Tahoma" w:eastAsia="Times New Roman" w:hAnsi="Tahoma" w:cs="Tahoma"/>
          <w:bCs/>
          <w:color w:val="auto"/>
        </w:rPr>
        <w:t xml:space="preserve">ngresos </w:t>
      </w:r>
      <w:r w:rsidR="00966B6E">
        <w:rPr>
          <w:rFonts w:ascii="Tahoma" w:eastAsia="Times New Roman" w:hAnsi="Tahoma" w:cs="Tahoma"/>
          <w:bCs/>
          <w:color w:val="auto"/>
        </w:rPr>
        <w:t xml:space="preserve">está compuesto por ingresos </w:t>
      </w:r>
      <w:r w:rsidR="003F0EBC">
        <w:rPr>
          <w:rFonts w:ascii="Tahoma" w:eastAsia="Times New Roman" w:hAnsi="Tahoma" w:cs="Tahoma"/>
          <w:bCs/>
          <w:color w:val="auto"/>
        </w:rPr>
        <w:t xml:space="preserve"> No </w:t>
      </w:r>
      <w:r w:rsidRPr="009A7AA1">
        <w:rPr>
          <w:rFonts w:ascii="Tahoma" w:eastAsia="Times New Roman" w:hAnsi="Tahoma" w:cs="Tahoma"/>
          <w:bCs/>
          <w:color w:val="auto"/>
        </w:rPr>
        <w:t xml:space="preserve">Tributarios </w:t>
      </w:r>
      <w:r w:rsidR="00966B6E">
        <w:rPr>
          <w:rFonts w:ascii="Tahoma" w:eastAsia="Times New Roman" w:hAnsi="Tahoma" w:cs="Tahoma"/>
          <w:bCs/>
          <w:color w:val="auto"/>
        </w:rPr>
        <w:t xml:space="preserve">el cual está divido en Venta de Servicios de Salud </w:t>
      </w:r>
      <w:r w:rsidRPr="009A7AA1">
        <w:rPr>
          <w:rFonts w:ascii="Tahoma" w:eastAsia="Times New Roman" w:hAnsi="Tahoma" w:cs="Tahoma"/>
          <w:bCs/>
          <w:color w:val="auto"/>
        </w:rPr>
        <w:t>con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CA6501">
        <w:rPr>
          <w:rFonts w:ascii="Tahoma" w:eastAsia="Times New Roman" w:hAnsi="Tahoma" w:cs="Tahoma"/>
          <w:bCs/>
          <w:color w:val="auto"/>
        </w:rPr>
        <w:t>el 54</w:t>
      </w:r>
      <w:r w:rsidR="00CA6501" w:rsidRPr="009A7AA1">
        <w:rPr>
          <w:rFonts w:ascii="Tahoma" w:eastAsia="Times New Roman" w:hAnsi="Tahoma" w:cs="Tahoma"/>
          <w:bCs/>
          <w:color w:val="auto"/>
        </w:rPr>
        <w:t>%</w:t>
      </w:r>
      <w:r w:rsidR="00CA6501">
        <w:rPr>
          <w:rFonts w:ascii="Tahoma" w:eastAsia="Times New Roman" w:hAnsi="Tahoma" w:cs="Tahoma"/>
          <w:bCs/>
          <w:color w:val="auto"/>
        </w:rPr>
        <w:t xml:space="preserve"> equivalente</w:t>
      </w:r>
      <w:r>
        <w:rPr>
          <w:rFonts w:ascii="Tahoma" w:eastAsia="Times New Roman" w:hAnsi="Tahoma" w:cs="Tahoma"/>
          <w:bCs/>
          <w:color w:val="auto"/>
        </w:rPr>
        <w:t xml:space="preserve">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 w:rsidRPr="00B3721E">
        <w:rPr>
          <w:rFonts w:ascii="Tahoma" w:eastAsia="Times New Roman" w:hAnsi="Tahoma" w:cs="Tahoma"/>
          <w:b/>
          <w:bCs/>
          <w:color w:val="auto"/>
        </w:rPr>
        <w:t>$</w:t>
      </w:r>
      <w:r w:rsidR="00CA6501" w:rsidRPr="00B3721E">
        <w:rPr>
          <w:rFonts w:ascii="Tahoma" w:eastAsia="Times New Roman" w:hAnsi="Tahoma" w:cs="Tahoma"/>
          <w:b/>
          <w:bCs/>
          <w:color w:val="auto"/>
        </w:rPr>
        <w:t>8.810</w:t>
      </w:r>
      <w:r w:rsidR="003F0EBC" w:rsidRPr="00B3721E">
        <w:rPr>
          <w:rFonts w:ascii="Tahoma" w:eastAsia="Times New Roman" w:hAnsi="Tahoma" w:cs="Tahoma"/>
          <w:b/>
          <w:bCs/>
          <w:color w:val="auto"/>
        </w:rPr>
        <w:t xml:space="preserve"> </w:t>
      </w:r>
      <w:r w:rsidR="003F0EBC">
        <w:rPr>
          <w:rFonts w:ascii="Tahoma" w:eastAsia="Times New Roman" w:hAnsi="Tahoma" w:cs="Tahoma"/>
          <w:bCs/>
          <w:color w:val="auto"/>
        </w:rPr>
        <w:t xml:space="preserve">millones </w:t>
      </w:r>
      <w:r w:rsidR="00E149B3">
        <w:rPr>
          <w:rFonts w:ascii="Tahoma" w:eastAsia="Times New Roman" w:hAnsi="Tahoma" w:cs="Tahoma"/>
          <w:color w:val="auto"/>
        </w:rPr>
        <w:t xml:space="preserve">y </w:t>
      </w:r>
      <w:r w:rsidR="002E1E7F">
        <w:rPr>
          <w:rFonts w:ascii="Tahoma" w:eastAsia="Times New Roman" w:hAnsi="Tahoma" w:cs="Tahoma"/>
          <w:color w:val="auto"/>
        </w:rPr>
        <w:t>R</w:t>
      </w:r>
      <w:r w:rsidR="00E149B3">
        <w:rPr>
          <w:rFonts w:ascii="Tahoma" w:eastAsia="Times New Roman" w:hAnsi="Tahoma" w:cs="Tahoma"/>
          <w:color w:val="auto"/>
        </w:rPr>
        <w:t xml:space="preserve">ecursos de Capital con </w:t>
      </w:r>
      <w:r w:rsidR="00CA6501">
        <w:rPr>
          <w:rFonts w:ascii="Tahoma" w:eastAsia="Times New Roman" w:hAnsi="Tahoma" w:cs="Tahoma"/>
          <w:color w:val="auto"/>
        </w:rPr>
        <w:t>un 46% equivalente</w:t>
      </w:r>
      <w:r w:rsidR="00E149B3">
        <w:rPr>
          <w:rFonts w:ascii="Tahoma" w:eastAsia="Times New Roman" w:hAnsi="Tahoma" w:cs="Tahoma"/>
          <w:color w:val="auto"/>
        </w:rPr>
        <w:t xml:space="preserve"> a </w:t>
      </w:r>
      <w:r w:rsidR="002C45DB" w:rsidRPr="00B3721E">
        <w:rPr>
          <w:rFonts w:ascii="Tahoma" w:eastAsia="Times New Roman" w:hAnsi="Tahoma" w:cs="Tahoma"/>
          <w:b/>
          <w:color w:val="auto"/>
        </w:rPr>
        <w:t>$</w:t>
      </w:r>
      <w:r w:rsidR="00CA6501" w:rsidRPr="00B3721E">
        <w:rPr>
          <w:rFonts w:ascii="Tahoma" w:eastAsia="Times New Roman" w:hAnsi="Tahoma" w:cs="Tahoma"/>
          <w:b/>
          <w:color w:val="auto"/>
        </w:rPr>
        <w:t>7.433</w:t>
      </w:r>
      <w:r w:rsidR="00E149B3">
        <w:rPr>
          <w:rFonts w:ascii="Tahoma" w:eastAsia="Times New Roman" w:hAnsi="Tahoma" w:cs="Tahoma"/>
          <w:color w:val="auto"/>
        </w:rPr>
        <w:t xml:space="preserve"> millones</w:t>
      </w:r>
      <w:r w:rsidR="00511C4D">
        <w:rPr>
          <w:rFonts w:ascii="Tahoma" w:eastAsia="Times New Roman" w:hAnsi="Tahoma" w:cs="Tahoma"/>
          <w:color w:val="auto"/>
        </w:rPr>
        <w:t>.</w:t>
      </w:r>
      <w:r>
        <w:rPr>
          <w:rFonts w:ascii="Tahoma" w:eastAsia="Times New Roman" w:hAnsi="Tahoma" w:cs="Tahoma"/>
          <w:color w:val="auto"/>
        </w:rPr>
        <w:t xml:space="preserve"> </w:t>
      </w:r>
    </w:p>
    <w:p w:rsidR="00336F16" w:rsidRDefault="00336F16" w:rsidP="00591B11">
      <w:pPr>
        <w:jc w:val="both"/>
        <w:rPr>
          <w:rFonts w:ascii="Tahoma" w:eastAsia="Times New Roman" w:hAnsi="Tahoma" w:cs="Tahoma"/>
          <w:color w:val="auto"/>
        </w:rPr>
      </w:pPr>
    </w:p>
    <w:p w:rsidR="005F4548" w:rsidRDefault="006E1704" w:rsidP="00836FC3">
      <w:pPr>
        <w:jc w:val="center"/>
        <w:rPr>
          <w:rFonts w:ascii="Tahoma" w:eastAsia="Times New Roman" w:hAnsi="Tahoma" w:cs="Tahoma"/>
          <w:color w:val="auto"/>
        </w:rPr>
      </w:pPr>
      <w:r>
        <w:rPr>
          <w:noProof/>
        </w:rPr>
        <w:lastRenderedPageBreak/>
        <w:drawing>
          <wp:inline distT="0" distB="0" distL="0" distR="0" wp14:anchorId="6B5658B4" wp14:editId="1279A764">
            <wp:extent cx="4335780" cy="2503170"/>
            <wp:effectExtent l="0" t="0" r="7620" b="1143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97BD8" w:rsidRPr="005F4548" w:rsidRDefault="00E97BD8" w:rsidP="00836FC3">
      <w:pPr>
        <w:jc w:val="center"/>
        <w:rPr>
          <w:rFonts w:ascii="Tahoma" w:eastAsia="Times New Roman" w:hAnsi="Tahoma" w:cs="Tahoma"/>
          <w:color w:val="auto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 del</w:t>
      </w:r>
      <w:r w:rsidR="00522858">
        <w:rPr>
          <w:rFonts w:ascii="Tahoma" w:eastAsia="Times New Roman" w:hAnsi="Tahoma" w:cs="Tahoma"/>
          <w:bCs/>
          <w:color w:val="auto"/>
        </w:rPr>
        <w:t xml:space="preserve"> </w:t>
      </w:r>
      <w:r w:rsidR="00F0680C">
        <w:rPr>
          <w:rFonts w:ascii="Tahoma" w:eastAsia="Times New Roman" w:hAnsi="Tahoma" w:cs="Tahoma"/>
          <w:bCs/>
          <w:color w:val="auto"/>
        </w:rPr>
        <w:t>Hospital Regional del Líbano E.S.E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C54B1F">
        <w:rPr>
          <w:rFonts w:ascii="Tahoma" w:eastAsia="Times New Roman" w:hAnsi="Tahoma" w:cs="Tahoma"/>
          <w:bCs/>
          <w:color w:val="auto"/>
        </w:rPr>
        <w:t>45.49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C54B1F">
        <w:rPr>
          <w:rFonts w:ascii="Tahoma" w:eastAsia="Times New Roman" w:hAnsi="Tahoma" w:cs="Tahoma"/>
          <w:b/>
          <w:bCs/>
          <w:color w:val="auto"/>
        </w:rPr>
        <w:t>7.389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</w:t>
      </w:r>
      <w:r w:rsidR="000A038D">
        <w:rPr>
          <w:rFonts w:ascii="Tahoma" w:eastAsia="Times New Roman" w:hAnsi="Tahoma" w:cs="Tahoma"/>
          <w:bCs/>
          <w:color w:val="auto"/>
        </w:rPr>
        <w:t xml:space="preserve">la </w:t>
      </w:r>
      <w:r w:rsidR="00606BF2">
        <w:rPr>
          <w:rFonts w:ascii="Tahoma" w:eastAsia="Times New Roman" w:hAnsi="Tahoma" w:cs="Tahoma"/>
          <w:bCs/>
          <w:color w:val="auto"/>
        </w:rPr>
        <w:t xml:space="preserve">Venta de Bienes y Servicios </w:t>
      </w:r>
      <w:r>
        <w:rPr>
          <w:rFonts w:ascii="Tahoma" w:eastAsia="Times New Roman" w:hAnsi="Tahoma" w:cs="Tahoma"/>
          <w:bCs/>
          <w:color w:val="auto"/>
        </w:rPr>
        <w:t>en la suma de $</w:t>
      </w:r>
      <w:r w:rsidR="00606BF2">
        <w:rPr>
          <w:rFonts w:ascii="Tahoma" w:eastAsia="Times New Roman" w:hAnsi="Tahoma" w:cs="Tahoma"/>
          <w:bCs/>
          <w:color w:val="auto"/>
        </w:rPr>
        <w:t>7.090</w:t>
      </w:r>
      <w:r>
        <w:rPr>
          <w:rFonts w:ascii="Tahoma" w:eastAsia="Times New Roman" w:hAnsi="Tahoma" w:cs="Tahoma"/>
          <w:bCs/>
          <w:color w:val="auto"/>
        </w:rPr>
        <w:t xml:space="preserve"> millones,</w:t>
      </w:r>
      <w:r w:rsidR="000A038D">
        <w:rPr>
          <w:rFonts w:ascii="Tahoma" w:eastAsia="Times New Roman" w:hAnsi="Tahoma" w:cs="Tahoma"/>
          <w:bCs/>
          <w:color w:val="auto"/>
        </w:rPr>
        <w:t xml:space="preserve"> Recursos de Capital en la suma de $</w:t>
      </w:r>
      <w:r w:rsidR="00606BF2">
        <w:rPr>
          <w:rFonts w:ascii="Tahoma" w:eastAsia="Times New Roman" w:hAnsi="Tahoma" w:cs="Tahoma"/>
          <w:bCs/>
          <w:color w:val="auto"/>
        </w:rPr>
        <w:t>233</w:t>
      </w:r>
      <w:r w:rsidR="00EF28ED">
        <w:rPr>
          <w:rFonts w:ascii="Tahoma" w:eastAsia="Times New Roman" w:hAnsi="Tahoma" w:cs="Tahoma"/>
          <w:bCs/>
          <w:color w:val="auto"/>
        </w:rPr>
        <w:t xml:space="preserve"> millones y en </w:t>
      </w:r>
      <w:r w:rsidR="00606BF2">
        <w:rPr>
          <w:rFonts w:ascii="Tahoma" w:eastAsia="Times New Roman" w:hAnsi="Tahoma" w:cs="Tahoma"/>
          <w:bCs/>
          <w:color w:val="auto"/>
        </w:rPr>
        <w:t xml:space="preserve">Disponibilidad Inicial aprobada $65 </w:t>
      </w:r>
      <w:r w:rsidR="00EF28ED">
        <w:rPr>
          <w:rFonts w:ascii="Tahoma" w:eastAsia="Times New Roman" w:hAnsi="Tahoma" w:cs="Tahoma"/>
          <w:bCs/>
          <w:color w:val="auto"/>
        </w:rPr>
        <w:t>millones</w:t>
      </w:r>
      <w:r>
        <w:rPr>
          <w:rFonts w:ascii="Tahoma" w:eastAsia="Times New Roman" w:hAnsi="Tahoma" w:cs="Tahoma"/>
          <w:bCs/>
          <w:color w:val="auto"/>
        </w:rPr>
        <w:t>. Ver tabla.</w:t>
      </w:r>
    </w:p>
    <w:p w:rsidR="000A038D" w:rsidRDefault="000A038D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C945E3" w:rsidRDefault="00606BF2" w:rsidP="00D62651">
      <w:pPr>
        <w:jc w:val="center"/>
        <w:rPr>
          <w:rFonts w:ascii="Tahoma" w:eastAsia="Times New Roman" w:hAnsi="Tahoma" w:cs="Tahoma"/>
        </w:rPr>
      </w:pPr>
      <w:r w:rsidRPr="00606BF2">
        <w:rPr>
          <w:noProof/>
        </w:rPr>
        <w:drawing>
          <wp:inline distT="0" distB="0" distL="0" distR="0">
            <wp:extent cx="5608864" cy="126546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413" cy="1269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 xml:space="preserve">del </w:t>
      </w:r>
      <w:r w:rsidR="00F0680C">
        <w:rPr>
          <w:rFonts w:ascii="Tahoma" w:hAnsi="Tahoma" w:cs="Tahoma"/>
          <w:noProof/>
          <w:color w:val="auto"/>
        </w:rPr>
        <w:t>Hospital Regional del Líbano E.S.E</w:t>
      </w:r>
      <w:r w:rsidRPr="00836C5C">
        <w:rPr>
          <w:rFonts w:ascii="Tahoma" w:hAnsi="Tahoma" w:cs="Tahoma"/>
          <w:noProof/>
          <w:color w:val="auto"/>
        </w:rPr>
        <w:t xml:space="preserve"> a Diciembre 31 de 2015</w:t>
      </w:r>
      <w:r>
        <w:rPr>
          <w:rFonts w:ascii="Tahoma" w:hAnsi="Tahoma" w:cs="Tahoma"/>
          <w:noProof/>
          <w:color w:val="auto"/>
        </w:rPr>
        <w:t xml:space="preserve"> fue de </w:t>
      </w:r>
      <w:r w:rsidR="00595823" w:rsidRPr="00595823">
        <w:rPr>
          <w:rFonts w:ascii="Tahoma" w:hAnsi="Tahoma" w:cs="Tahoma"/>
          <w:b/>
          <w:noProof/>
          <w:color w:val="auto"/>
        </w:rPr>
        <w:t>$23.633</w:t>
      </w:r>
      <w:r w:rsidR="00595823">
        <w:rPr>
          <w:rFonts w:ascii="Tahoma" w:hAnsi="Tahoma" w:cs="Tahoma"/>
          <w:noProof/>
          <w:color w:val="auto"/>
        </w:rPr>
        <w:t xml:space="preserve"> </w:t>
      </w:r>
      <w:r w:rsidR="004511D7">
        <w:rPr>
          <w:rFonts w:ascii="Tahoma" w:hAnsi="Tahoma" w:cs="Tahoma"/>
          <w:b/>
          <w:noProof/>
          <w:color w:val="auto"/>
        </w:rPr>
        <w:t>Millones</w:t>
      </w:r>
      <w:r>
        <w:rPr>
          <w:rFonts w:ascii="Tahoma" w:hAnsi="Tahoma" w:cs="Tahoma"/>
          <w:noProof/>
          <w:color w:val="auto"/>
        </w:rPr>
        <w:t xml:space="preserve">, de los cuales se recaudó la suma de </w:t>
      </w:r>
      <w:r w:rsidR="004511D7">
        <w:rPr>
          <w:rFonts w:ascii="Tahoma" w:hAnsi="Tahoma" w:cs="Tahoma"/>
          <w:noProof/>
          <w:color w:val="auto"/>
        </w:rPr>
        <w:t xml:space="preserve"> </w:t>
      </w:r>
      <w:r w:rsidR="00595823">
        <w:rPr>
          <w:rFonts w:ascii="Tahoma" w:hAnsi="Tahoma" w:cs="Tahoma"/>
          <w:noProof/>
          <w:color w:val="auto"/>
        </w:rPr>
        <w:t>$</w:t>
      </w:r>
      <w:r w:rsidR="00595823" w:rsidRPr="00595823">
        <w:rPr>
          <w:rFonts w:ascii="Tahoma" w:hAnsi="Tahoma" w:cs="Tahoma"/>
          <w:noProof/>
          <w:color w:val="auto"/>
        </w:rPr>
        <w:t>18.831</w:t>
      </w:r>
      <w:r w:rsidR="00595823">
        <w:rPr>
          <w:rFonts w:ascii="Tahoma" w:hAnsi="Tahoma" w:cs="Tahoma"/>
          <w:noProof/>
          <w:color w:val="auto"/>
        </w:rPr>
        <w:t xml:space="preserve"> </w:t>
      </w:r>
      <w:r w:rsidR="004511D7">
        <w:rPr>
          <w:rFonts w:ascii="Tahoma" w:hAnsi="Tahoma" w:cs="Tahoma"/>
          <w:noProof/>
          <w:color w:val="auto"/>
        </w:rPr>
        <w:t>Millones</w:t>
      </w:r>
      <w:r w:rsidR="005E0382">
        <w:rPr>
          <w:rFonts w:ascii="Tahoma" w:hAnsi="Tahoma" w:cs="Tahoma"/>
          <w:noProof/>
          <w:color w:val="auto"/>
        </w:rPr>
        <w:t xml:space="preserve">, es decir, el recaudo fue del </w:t>
      </w:r>
      <w:r w:rsidR="00050820">
        <w:rPr>
          <w:rFonts w:ascii="Tahoma" w:hAnsi="Tahoma" w:cs="Tahoma"/>
          <w:noProof/>
          <w:color w:val="auto"/>
        </w:rPr>
        <w:t>79.68</w:t>
      </w:r>
      <w:r w:rsidR="00941DC5">
        <w:rPr>
          <w:rFonts w:ascii="Tahoma" w:hAnsi="Tahoma" w:cs="Tahoma"/>
          <w:noProof/>
          <w:color w:val="auto"/>
        </w:rPr>
        <w:t>%</w:t>
      </w:r>
      <w:r w:rsidR="005E0382">
        <w:rPr>
          <w:rFonts w:ascii="Tahoma" w:hAnsi="Tahoma" w:cs="Tahoma"/>
          <w:noProof/>
          <w:color w:val="auto"/>
        </w:rPr>
        <w:t>,</w:t>
      </w:r>
      <w:r w:rsidR="00EA7A00">
        <w:rPr>
          <w:rFonts w:ascii="Tahoma" w:hAnsi="Tahoma" w:cs="Tahoma"/>
          <w:noProof/>
          <w:color w:val="auto"/>
        </w:rPr>
        <w:t xml:space="preserve"> </w:t>
      </w:r>
      <w:r>
        <w:rPr>
          <w:rFonts w:ascii="Tahoma" w:hAnsi="Tahoma" w:cs="Tahoma"/>
        </w:rPr>
        <w:t>qued</w:t>
      </w:r>
      <w:r w:rsidR="00EA7A00">
        <w:rPr>
          <w:rFonts w:ascii="Tahoma" w:hAnsi="Tahoma" w:cs="Tahoma"/>
        </w:rPr>
        <w:t>ando</w:t>
      </w:r>
      <w:r>
        <w:rPr>
          <w:rFonts w:ascii="Tahoma" w:hAnsi="Tahoma" w:cs="Tahoma"/>
        </w:rPr>
        <w:t xml:space="preserve"> pendiente por recaudar la suma de </w:t>
      </w:r>
      <w:r w:rsidR="00050820">
        <w:rPr>
          <w:rFonts w:ascii="Tahoma" w:hAnsi="Tahoma" w:cs="Tahoma"/>
        </w:rPr>
        <w:t>4.801</w:t>
      </w:r>
      <w:r w:rsidR="00760A17">
        <w:rPr>
          <w:rFonts w:ascii="Tahoma" w:hAnsi="Tahoma" w:cs="Tahoma"/>
        </w:rPr>
        <w:t xml:space="preserve"> M</w:t>
      </w:r>
      <w:r w:rsidR="007B2470">
        <w:rPr>
          <w:rFonts w:ascii="Tahoma" w:hAnsi="Tahoma" w:cs="Tahoma"/>
        </w:rPr>
        <w:t>illones</w:t>
      </w:r>
      <w:r>
        <w:rPr>
          <w:rFonts w:ascii="Tahoma" w:hAnsi="Tahoma" w:cs="Tahoma"/>
        </w:rPr>
        <w:t>, correspondie</w:t>
      </w:r>
      <w:r w:rsidR="001D3576">
        <w:rPr>
          <w:rFonts w:ascii="Tahoma" w:hAnsi="Tahoma" w:cs="Tahoma"/>
        </w:rPr>
        <w:t xml:space="preserve">ntes </w:t>
      </w:r>
      <w:r w:rsidR="00FA29BA">
        <w:rPr>
          <w:rFonts w:ascii="Tahoma" w:hAnsi="Tahoma" w:cs="Tahoma"/>
        </w:rPr>
        <w:t>a</w:t>
      </w:r>
      <w:r w:rsidR="003B0C24">
        <w:rPr>
          <w:rFonts w:ascii="Tahoma" w:hAnsi="Tahoma" w:cs="Tahoma"/>
        </w:rPr>
        <w:t xml:space="preserve"> venta de Servicios y Recursos de Capital</w:t>
      </w:r>
      <w:r w:rsidR="00FA29BA">
        <w:rPr>
          <w:rFonts w:ascii="Tahoma" w:hAnsi="Tahoma" w:cs="Tahoma"/>
        </w:rPr>
        <w:t>.</w:t>
      </w:r>
      <w:r w:rsidR="001D31AB">
        <w:rPr>
          <w:rFonts w:ascii="Tahoma" w:hAnsi="Tahoma" w:cs="Tahoma"/>
        </w:rPr>
        <w:t xml:space="preserve">  </w:t>
      </w:r>
    </w:p>
    <w:p w:rsidR="00915224" w:rsidRDefault="00915224" w:rsidP="00691813">
      <w:pPr>
        <w:tabs>
          <w:tab w:val="left" w:pos="2835"/>
        </w:tabs>
        <w:spacing w:before="0" w:after="0" w:line="19" w:lineRule="atLeast"/>
        <w:rPr>
          <w:rFonts w:ascii="Tahoma" w:hAnsi="Tahoma" w:cs="Tahoma"/>
          <w:noProof/>
          <w:color w:val="auto"/>
        </w:rPr>
      </w:pPr>
    </w:p>
    <w:p w:rsidR="00691813" w:rsidRDefault="002E4D5C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402C92F9" wp14:editId="090F1E45">
            <wp:extent cx="4988378" cy="2400300"/>
            <wp:effectExtent l="0" t="0" r="22225" b="1905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073CF" w:rsidRDefault="001055EC" w:rsidP="00471A9A">
      <w:pPr>
        <w:tabs>
          <w:tab w:val="left" w:pos="392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E97BD8" w:rsidRDefault="00E97BD8" w:rsidP="00471A9A">
      <w:pPr>
        <w:tabs>
          <w:tab w:val="left" w:pos="3924"/>
        </w:tabs>
        <w:jc w:val="center"/>
        <w:rPr>
          <w:rFonts w:ascii="Tahoma" w:hAnsi="Tahoma" w:cs="Tahoma"/>
        </w:rPr>
      </w:pP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260B3" w:rsidRDefault="004260B3" w:rsidP="004260B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 xml:space="preserve">de Gastos del </w:t>
      </w:r>
      <w:r w:rsidR="00F0680C">
        <w:rPr>
          <w:rFonts w:ascii="Tahoma" w:hAnsi="Tahoma" w:cs="Tahoma"/>
        </w:rPr>
        <w:t>Hospital Regional del Líbano E.S.E</w:t>
      </w:r>
      <w:r>
        <w:rPr>
          <w:rFonts w:ascii="Tahoma" w:hAnsi="Tahoma" w:cs="Tahoma"/>
        </w:rPr>
        <w:t xml:space="preserve"> para la vigencia fiscal 2015 fue aprobado en la cuantía de </w:t>
      </w:r>
      <w:r w:rsidR="00217086" w:rsidRPr="00217086">
        <w:rPr>
          <w:rFonts w:ascii="Tahoma" w:hAnsi="Tahoma" w:cs="Tahoma"/>
          <w:b/>
        </w:rPr>
        <w:t>$</w:t>
      </w:r>
      <w:r w:rsidR="000A4699" w:rsidRPr="000A4699">
        <w:rPr>
          <w:rFonts w:ascii="Tahoma" w:hAnsi="Tahoma" w:cs="Tahoma"/>
          <w:b/>
        </w:rPr>
        <w:t>16.243.920.469.</w:t>
      </w:r>
      <w:r w:rsidR="00E97BD8">
        <w:rPr>
          <w:rFonts w:ascii="Tahoma" w:hAnsi="Tahoma" w:cs="Tahoma"/>
          <w:b/>
        </w:rPr>
        <w:t>oo</w:t>
      </w:r>
      <w:r w:rsidR="000A4699">
        <w:rPr>
          <w:rFonts w:ascii="Tahoma" w:hAnsi="Tahoma" w:cs="Tahoma"/>
          <w:b/>
        </w:rPr>
        <w:t xml:space="preserve"> </w:t>
      </w:r>
      <w:r w:rsidR="00E2292C">
        <w:rPr>
          <w:rFonts w:ascii="Tahoma" w:hAnsi="Tahoma" w:cs="Tahoma"/>
        </w:rPr>
        <w:t>y</w:t>
      </w:r>
      <w:r>
        <w:rPr>
          <w:rFonts w:ascii="Tahoma" w:hAnsi="Tahoma" w:cs="Tahoma"/>
          <w:b/>
        </w:rPr>
        <w:t xml:space="preserve"> </w:t>
      </w:r>
      <w:r w:rsidRPr="00DA6502">
        <w:rPr>
          <w:rFonts w:ascii="Tahoma" w:hAnsi="Tahoma" w:cs="Tahoma"/>
          <w:color w:val="auto"/>
        </w:rPr>
        <w:t>presentó adiciones</w:t>
      </w:r>
      <w:r>
        <w:rPr>
          <w:rFonts w:ascii="Tahoma" w:hAnsi="Tahoma" w:cs="Tahoma"/>
          <w:color w:val="auto"/>
        </w:rPr>
        <w:t xml:space="preserve"> presupuestales por</w:t>
      </w:r>
      <w:r w:rsidRPr="00DA6502">
        <w:rPr>
          <w:rFonts w:ascii="Tahoma" w:hAnsi="Tahoma" w:cs="Tahoma"/>
          <w:color w:val="auto"/>
        </w:rPr>
        <w:t xml:space="preserve"> </w:t>
      </w:r>
      <w:r w:rsidR="00217086" w:rsidRPr="00217086">
        <w:rPr>
          <w:rFonts w:ascii="Tahoma" w:hAnsi="Tahoma" w:cs="Tahoma"/>
          <w:b/>
          <w:color w:val="auto"/>
        </w:rPr>
        <w:t>$</w:t>
      </w:r>
      <w:r w:rsidR="000A4699" w:rsidRPr="000A4699">
        <w:rPr>
          <w:rFonts w:ascii="Tahoma" w:eastAsia="Times New Roman" w:hAnsi="Tahoma" w:cs="Tahoma"/>
          <w:b/>
          <w:bCs/>
          <w:color w:val="auto"/>
        </w:rPr>
        <w:t>7.389.274.881.</w:t>
      </w:r>
      <w:r w:rsidR="00E97BD8">
        <w:rPr>
          <w:rFonts w:ascii="Tahoma" w:eastAsia="Times New Roman" w:hAnsi="Tahoma" w:cs="Tahoma"/>
          <w:b/>
          <w:bCs/>
          <w:color w:val="auto"/>
        </w:rPr>
        <w:t>oo</w:t>
      </w:r>
      <w:r w:rsidRPr="00CA669B">
        <w:rPr>
          <w:rFonts w:ascii="Tahoma" w:hAnsi="Tahoma" w:cs="Tahoma"/>
          <w:b/>
          <w:color w:val="auto"/>
        </w:rPr>
        <w:t>,</w:t>
      </w:r>
      <w:r w:rsidR="00E2292C">
        <w:rPr>
          <w:rFonts w:ascii="Tahoma" w:hAnsi="Tahoma" w:cs="Tahoma"/>
          <w:b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E2292C">
        <w:rPr>
          <w:rFonts w:ascii="Tahoma" w:eastAsia="Times New Roman" w:hAnsi="Tahoma" w:cs="Tahoma"/>
          <w:b/>
          <w:bCs/>
          <w:color w:val="auto"/>
        </w:rPr>
        <w:t>$</w:t>
      </w:r>
      <w:r w:rsidR="000A4699" w:rsidRPr="000A4699">
        <w:rPr>
          <w:rFonts w:ascii="Tahoma" w:eastAsia="Times New Roman" w:hAnsi="Tahoma" w:cs="Tahoma"/>
          <w:b/>
          <w:bCs/>
          <w:color w:val="auto"/>
        </w:rPr>
        <w:t>23.633.195.350.</w:t>
      </w:r>
      <w:r w:rsidR="00E97BD8">
        <w:rPr>
          <w:rFonts w:ascii="Tahoma" w:eastAsia="Times New Roman" w:hAnsi="Tahoma" w:cs="Tahoma"/>
          <w:b/>
          <w:bCs/>
          <w:color w:val="auto"/>
        </w:rPr>
        <w:t>oo</w:t>
      </w:r>
    </w:p>
    <w:p w:rsidR="004260B3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4260B3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378" w:type="dxa"/>
        <w:tblLayout w:type="fixed"/>
        <w:tblLook w:val="04A0" w:firstRow="1" w:lastRow="0" w:firstColumn="1" w:lastColumn="0" w:noHBand="0" w:noVBand="1"/>
      </w:tblPr>
      <w:tblGrid>
        <w:gridCol w:w="2628"/>
        <w:gridCol w:w="2340"/>
        <w:gridCol w:w="1710"/>
        <w:gridCol w:w="2700"/>
      </w:tblGrid>
      <w:tr w:rsidR="004260B3" w:rsidRPr="00BA1DE4" w:rsidTr="0030196A">
        <w:trPr>
          <w:trHeight w:val="327"/>
        </w:trPr>
        <w:tc>
          <w:tcPr>
            <w:tcW w:w="2628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340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710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700" w:type="dxa"/>
            <w:shd w:val="clear" w:color="auto" w:fill="F2DBDB" w:themeFill="accent2" w:themeFillTint="33"/>
          </w:tcPr>
          <w:p w:rsidR="004260B3" w:rsidRPr="00B26183" w:rsidRDefault="004260B3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4260B3" w:rsidRPr="00BA1DE4" w:rsidTr="0030196A">
        <w:trPr>
          <w:trHeight w:val="551"/>
        </w:trPr>
        <w:tc>
          <w:tcPr>
            <w:tcW w:w="2628" w:type="dxa"/>
          </w:tcPr>
          <w:p w:rsidR="004260B3" w:rsidRPr="00E97BD8" w:rsidRDefault="00383152" w:rsidP="00E97BD8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hAnsi="Tahoma" w:cs="Tahoma"/>
              </w:rPr>
              <w:t>$16.243.920.469.</w:t>
            </w:r>
            <w:r w:rsidR="00E97BD8">
              <w:rPr>
                <w:rFonts w:ascii="Tahoma" w:hAnsi="Tahoma" w:cs="Tahoma"/>
              </w:rPr>
              <w:t>oo</w:t>
            </w:r>
          </w:p>
        </w:tc>
        <w:tc>
          <w:tcPr>
            <w:tcW w:w="2340" w:type="dxa"/>
          </w:tcPr>
          <w:p w:rsidR="004260B3" w:rsidRPr="00E97BD8" w:rsidRDefault="00383152" w:rsidP="00E97BD8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hAnsi="Tahoma" w:cs="Tahoma"/>
                <w:color w:val="auto"/>
              </w:rPr>
              <w:t>$</w:t>
            </w:r>
            <w:r w:rsidRPr="00E97BD8">
              <w:rPr>
                <w:rFonts w:ascii="Tahoma" w:eastAsia="Times New Roman" w:hAnsi="Tahoma" w:cs="Tahoma"/>
                <w:bCs/>
                <w:color w:val="auto"/>
              </w:rPr>
              <w:t>7.389.274.881.</w:t>
            </w:r>
            <w:r w:rsidR="00E97BD8">
              <w:rPr>
                <w:rFonts w:ascii="Tahoma" w:eastAsia="Times New Roman" w:hAnsi="Tahoma" w:cs="Tahoma"/>
                <w:bCs/>
                <w:color w:val="auto"/>
              </w:rPr>
              <w:t>oo</w:t>
            </w:r>
          </w:p>
        </w:tc>
        <w:tc>
          <w:tcPr>
            <w:tcW w:w="1710" w:type="dxa"/>
          </w:tcPr>
          <w:p w:rsidR="004260B3" w:rsidRPr="00E97BD8" w:rsidRDefault="00AB5DC4" w:rsidP="00F82FBA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eastAsia="Times New Roman" w:hAnsi="Tahoma" w:cs="Tahoma"/>
                <w:bCs/>
                <w:color w:val="auto"/>
              </w:rPr>
              <w:t>$0</w:t>
            </w:r>
          </w:p>
        </w:tc>
        <w:tc>
          <w:tcPr>
            <w:tcW w:w="2700" w:type="dxa"/>
          </w:tcPr>
          <w:p w:rsidR="004260B3" w:rsidRPr="00E97BD8" w:rsidRDefault="00383152" w:rsidP="00E97BD8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E97BD8">
              <w:rPr>
                <w:rFonts w:ascii="Tahoma" w:eastAsia="Times New Roman" w:hAnsi="Tahoma" w:cs="Tahoma"/>
                <w:bCs/>
                <w:color w:val="auto"/>
              </w:rPr>
              <w:t>$23.633.195.350.</w:t>
            </w:r>
            <w:r w:rsidR="00E97BD8">
              <w:rPr>
                <w:rFonts w:ascii="Tahoma" w:eastAsia="Times New Roman" w:hAnsi="Tahoma" w:cs="Tahoma"/>
                <w:bCs/>
                <w:color w:val="auto"/>
              </w:rPr>
              <w:t>oo</w:t>
            </w:r>
          </w:p>
        </w:tc>
      </w:tr>
    </w:tbl>
    <w:p w:rsidR="004260B3" w:rsidRPr="00256F6A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 w:rsidR="005D2D1A" w:rsidRPr="00256F6A">
        <w:rPr>
          <w:rFonts w:ascii="Tahoma" w:eastAsia="Times New Roman" w:hAnsi="Tahoma" w:cs="Tahoma"/>
          <w:bCs/>
          <w:color w:val="auto"/>
          <w:vertAlign w:val="subscript"/>
        </w:rPr>
        <w:t>del</w:t>
      </w:r>
      <w:r w:rsidR="005D2D1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5D2D1A"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F0680C">
        <w:rPr>
          <w:rFonts w:ascii="Tahoma" w:eastAsia="Times New Roman" w:hAnsi="Tahoma" w:cs="Tahoma"/>
          <w:bCs/>
          <w:color w:val="auto"/>
          <w:vertAlign w:val="subscript"/>
        </w:rPr>
        <w:t>Hospital Regional del Líbano E.S.E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9E2C78" w:rsidRDefault="009E2C78" w:rsidP="00C32B9A">
      <w:pPr>
        <w:spacing w:before="0" w:after="0"/>
        <w:rPr>
          <w:rFonts w:ascii="Tahoma" w:hAnsi="Tahoma" w:cs="Tahoma"/>
          <w:b/>
          <w:bCs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6948C5" w:rsidRP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 xml:space="preserve">El presupuesto de Gastos aprobado para la vigencia 2015 del </w:t>
      </w:r>
      <w:r w:rsidR="00F0680C">
        <w:rPr>
          <w:rFonts w:ascii="Tahoma" w:hAnsi="Tahoma" w:cs="Tahoma"/>
          <w:color w:val="auto"/>
        </w:rPr>
        <w:t>Hospital Regional del Líbano E.S.E</w:t>
      </w:r>
      <w:r w:rsidRPr="00C32B9A">
        <w:rPr>
          <w:rFonts w:ascii="Tahoma" w:hAnsi="Tahoma" w:cs="Tahoma"/>
          <w:color w:val="auto"/>
        </w:rPr>
        <w:t>, fue de $</w:t>
      </w:r>
      <w:r w:rsidR="00CE225D">
        <w:rPr>
          <w:rFonts w:ascii="Tahoma" w:hAnsi="Tahoma" w:cs="Tahoma"/>
          <w:color w:val="auto"/>
        </w:rPr>
        <w:t>16.243</w:t>
      </w:r>
      <w:r w:rsidR="00E4206D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Pr="00C32B9A">
        <w:rPr>
          <w:rFonts w:ascii="Tahoma" w:hAnsi="Tahoma" w:cs="Tahoma"/>
          <w:color w:val="auto"/>
        </w:rPr>
        <w:t xml:space="preserve">, de los cuales </w:t>
      </w:r>
      <w:r w:rsidR="00CE225D">
        <w:rPr>
          <w:rFonts w:ascii="Tahoma" w:hAnsi="Tahoma" w:cs="Tahoma"/>
          <w:color w:val="auto"/>
        </w:rPr>
        <w:t xml:space="preserve">el 100% </w:t>
      </w:r>
      <w:r w:rsidRPr="00C32B9A">
        <w:rPr>
          <w:rFonts w:ascii="Tahoma" w:hAnsi="Tahoma" w:cs="Tahoma"/>
          <w:color w:val="auto"/>
        </w:rPr>
        <w:t>correspondie</w:t>
      </w:r>
      <w:r w:rsidR="00CE225D">
        <w:rPr>
          <w:rFonts w:ascii="Tahoma" w:hAnsi="Tahoma" w:cs="Tahoma"/>
          <w:color w:val="auto"/>
        </w:rPr>
        <w:t xml:space="preserve">ron a Gastos de funcionamiento. </w:t>
      </w: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6750E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subdividieron en</w:t>
      </w:r>
      <w:r w:rsidR="005325B4">
        <w:rPr>
          <w:rFonts w:ascii="Tahoma" w:hAnsi="Tahoma" w:cs="Tahoma"/>
          <w:color w:val="auto"/>
        </w:rPr>
        <w:t xml:space="preserve"> Servicios Personales</w:t>
      </w:r>
      <w:r w:rsidR="00815CEE">
        <w:rPr>
          <w:rFonts w:ascii="Tahoma" w:hAnsi="Tahoma" w:cs="Tahoma"/>
          <w:color w:val="auto"/>
        </w:rPr>
        <w:t xml:space="preserve"> con $</w:t>
      </w:r>
      <w:r w:rsidR="007864C5">
        <w:rPr>
          <w:rFonts w:ascii="Tahoma" w:hAnsi="Tahoma" w:cs="Tahoma"/>
          <w:color w:val="auto"/>
        </w:rPr>
        <w:t>7.238</w:t>
      </w:r>
      <w:r w:rsidR="00BD16BE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="00815CEE">
        <w:rPr>
          <w:rFonts w:ascii="Tahoma" w:hAnsi="Tahoma" w:cs="Tahoma"/>
          <w:color w:val="auto"/>
        </w:rPr>
        <w:t>,</w:t>
      </w:r>
      <w:r w:rsidR="007864C5">
        <w:rPr>
          <w:rFonts w:ascii="Tahoma" w:hAnsi="Tahoma" w:cs="Tahoma"/>
          <w:color w:val="auto"/>
        </w:rPr>
        <w:t xml:space="preserve"> Gastos Generales aprobados $3.580 millones, </w:t>
      </w:r>
      <w:r w:rsidR="007864C5" w:rsidRPr="007864C5">
        <w:rPr>
          <w:rFonts w:ascii="Tahoma" w:hAnsi="Tahoma" w:cs="Tahoma"/>
          <w:color w:val="auto"/>
        </w:rPr>
        <w:t xml:space="preserve">Gastos De Comercialización Y </w:t>
      </w:r>
      <w:r w:rsidR="007864C5" w:rsidRPr="007864C5">
        <w:rPr>
          <w:rFonts w:ascii="Tahoma" w:hAnsi="Tahoma" w:cs="Tahoma"/>
          <w:color w:val="auto"/>
        </w:rPr>
        <w:lastRenderedPageBreak/>
        <w:t>Producción Aprobados</w:t>
      </w:r>
      <w:r w:rsidR="007864C5">
        <w:rPr>
          <w:rFonts w:ascii="Tahoma" w:hAnsi="Tahoma" w:cs="Tahoma"/>
          <w:color w:val="auto"/>
        </w:rPr>
        <w:t xml:space="preserve"> $3.022 millones, </w:t>
      </w:r>
      <w:r w:rsidR="007864C5" w:rsidRPr="007864C5">
        <w:rPr>
          <w:rFonts w:ascii="Tahoma" w:hAnsi="Tahoma" w:cs="Tahoma"/>
          <w:color w:val="auto"/>
        </w:rPr>
        <w:t>Otros Gastos De Funcionamiento Aprobados</w:t>
      </w:r>
      <w:r w:rsidR="007864C5">
        <w:rPr>
          <w:rFonts w:ascii="Tahoma" w:hAnsi="Tahoma" w:cs="Tahoma"/>
          <w:color w:val="auto"/>
        </w:rPr>
        <w:t xml:space="preserve"> </w:t>
      </w:r>
      <w:r w:rsidR="00BB7F4D">
        <w:rPr>
          <w:rFonts w:ascii="Tahoma" w:hAnsi="Tahoma" w:cs="Tahoma"/>
          <w:color w:val="auto"/>
        </w:rPr>
        <w:t xml:space="preserve">$2.376 millones y </w:t>
      </w:r>
      <w:r w:rsidR="00BB7F4D" w:rsidRPr="00BB7F4D">
        <w:rPr>
          <w:rFonts w:ascii="Tahoma" w:hAnsi="Tahoma" w:cs="Tahoma"/>
          <w:color w:val="auto"/>
        </w:rPr>
        <w:t>Transferencias Corrientes Aprobadas</w:t>
      </w:r>
      <w:r w:rsidR="00881C9C" w:rsidRPr="003539AE">
        <w:rPr>
          <w:rFonts w:ascii="Tahoma" w:hAnsi="Tahoma" w:cs="Tahoma"/>
          <w:color w:val="auto"/>
        </w:rPr>
        <w:t xml:space="preserve"> $</w:t>
      </w:r>
      <w:r w:rsidR="00BB7F4D">
        <w:rPr>
          <w:rFonts w:ascii="Tahoma" w:hAnsi="Tahoma" w:cs="Tahoma"/>
          <w:color w:val="auto"/>
        </w:rPr>
        <w:t>35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56750E">
        <w:rPr>
          <w:rFonts w:ascii="Tahoma" w:hAnsi="Tahoma" w:cs="Tahoma"/>
          <w:color w:val="auto"/>
        </w:rPr>
        <w:t>.</w:t>
      </w:r>
    </w:p>
    <w:p w:rsidR="00BB7F4D" w:rsidRDefault="00BB7F4D" w:rsidP="0056750E">
      <w:pPr>
        <w:spacing w:before="0" w:after="0"/>
        <w:jc w:val="both"/>
        <w:rPr>
          <w:rFonts w:ascii="Tahoma" w:hAnsi="Tahoma" w:cs="Tahoma"/>
          <w:color w:val="auto"/>
        </w:rPr>
      </w:pPr>
    </w:p>
    <w:p w:rsidR="007864C5" w:rsidRDefault="007864C5" w:rsidP="00BB7F4D">
      <w:pPr>
        <w:spacing w:before="0" w:after="0"/>
        <w:jc w:val="center"/>
        <w:rPr>
          <w:rFonts w:ascii="Tahoma" w:hAnsi="Tahoma" w:cs="Tahoma"/>
          <w:color w:val="auto"/>
        </w:rPr>
      </w:pPr>
      <w:r>
        <w:rPr>
          <w:noProof/>
        </w:rPr>
        <w:drawing>
          <wp:inline distT="0" distB="0" distL="0" distR="0" wp14:anchorId="2C3DA0C1" wp14:editId="530386B6">
            <wp:extent cx="5254172" cy="2891336"/>
            <wp:effectExtent l="0" t="0" r="3810" b="4445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95DA7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El presupuesto de gastos del </w:t>
      </w:r>
      <w:r w:rsidR="00F0680C">
        <w:rPr>
          <w:rFonts w:ascii="Tahoma" w:hAnsi="Tahoma" w:cs="Tahoma"/>
          <w:szCs w:val="24"/>
        </w:rPr>
        <w:t>Hospital Regional del Líbano E.S.E</w:t>
      </w:r>
      <w:r w:rsidR="0000440B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96177F">
        <w:rPr>
          <w:rFonts w:ascii="Tahoma" w:hAnsi="Tahoma" w:cs="Tahoma"/>
          <w:szCs w:val="24"/>
        </w:rPr>
        <w:t xml:space="preserve">upuestales en la suma de </w:t>
      </w:r>
      <w:r w:rsidR="0096177F" w:rsidRPr="00DF7B6F">
        <w:rPr>
          <w:rFonts w:ascii="Tahoma" w:hAnsi="Tahoma" w:cs="Tahoma"/>
          <w:b/>
          <w:szCs w:val="24"/>
        </w:rPr>
        <w:t>$</w:t>
      </w:r>
      <w:r w:rsidR="00E9062E">
        <w:rPr>
          <w:rFonts w:ascii="Tahoma" w:hAnsi="Tahoma" w:cs="Tahoma"/>
          <w:b/>
          <w:szCs w:val="24"/>
        </w:rPr>
        <w:t>7.389</w:t>
      </w:r>
      <w:r w:rsidR="00DF7B6F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 w:rsidR="00570EEE">
        <w:rPr>
          <w:rFonts w:ascii="Tahoma" w:hAnsi="Tahoma" w:cs="Tahoma"/>
          <w:szCs w:val="24"/>
        </w:rPr>
        <w:t xml:space="preserve">, </w:t>
      </w:r>
      <w:r w:rsidR="00E10692">
        <w:rPr>
          <w:rFonts w:ascii="Tahoma" w:hAnsi="Tahoma" w:cs="Tahoma"/>
          <w:szCs w:val="24"/>
        </w:rPr>
        <w:t xml:space="preserve">y </w:t>
      </w:r>
      <w:r w:rsidR="00595DA7">
        <w:rPr>
          <w:rFonts w:ascii="Tahoma" w:hAnsi="Tahoma" w:cs="Tahoma"/>
          <w:szCs w:val="24"/>
        </w:rPr>
        <w:t>traslados presupuestales en la suma de $</w:t>
      </w:r>
      <w:r w:rsidR="00331F72">
        <w:t xml:space="preserve">6.471  </w:t>
      </w:r>
      <w:r w:rsidR="00264A57">
        <w:rPr>
          <w:rFonts w:ascii="Tahoma" w:hAnsi="Tahoma" w:cs="Tahoma"/>
          <w:szCs w:val="24"/>
        </w:rPr>
        <w:t>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331F72">
        <w:rPr>
          <w:rFonts w:ascii="Tahoma" w:hAnsi="Tahoma" w:cs="Tahoma"/>
          <w:szCs w:val="24"/>
        </w:rPr>
        <w:t xml:space="preserve">23.633 </w:t>
      </w:r>
      <w:r w:rsidR="00264A57">
        <w:rPr>
          <w:rFonts w:ascii="Tahoma" w:hAnsi="Tahoma" w:cs="Tahoma"/>
          <w:szCs w:val="24"/>
        </w:rPr>
        <w:t>millones.</w:t>
      </w:r>
    </w:p>
    <w:p w:rsidR="00264A57" w:rsidRDefault="00264A57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E324E3">
        <w:rPr>
          <w:rFonts w:ascii="Tahoma" w:hAnsi="Tahoma" w:cs="Tahoma"/>
          <w:b/>
          <w:szCs w:val="24"/>
        </w:rPr>
        <w:t>MODIFICACIONES GASTOS DE FUNCIONAMIENTO</w:t>
      </w:r>
    </w:p>
    <w:p w:rsidR="00F4726A" w:rsidRDefault="00F4726A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E324E3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Los Gastos de funcionamiento se incrementaron en un </w:t>
      </w:r>
      <w:r w:rsidR="00B72D80">
        <w:rPr>
          <w:rFonts w:ascii="Tahoma" w:hAnsi="Tahoma" w:cs="Tahoma"/>
          <w:szCs w:val="24"/>
        </w:rPr>
        <w:t>45.49</w:t>
      </w:r>
      <w:r>
        <w:rPr>
          <w:rFonts w:ascii="Tahoma" w:hAnsi="Tahoma" w:cs="Tahoma"/>
          <w:szCs w:val="24"/>
        </w:rPr>
        <w:t>%, es decir la suma de $</w:t>
      </w:r>
      <w:r w:rsidR="00B72D80" w:rsidRPr="00B72D80">
        <w:rPr>
          <w:rFonts w:ascii="Tahoma" w:hAnsi="Tahoma" w:cs="Tahoma"/>
          <w:szCs w:val="24"/>
        </w:rPr>
        <w:t>7.389</w:t>
      </w:r>
      <w:r w:rsidR="00B72D80">
        <w:rPr>
          <w:rFonts w:ascii="Tahoma" w:hAnsi="Tahoma" w:cs="Tahoma"/>
          <w:szCs w:val="24"/>
        </w:rPr>
        <w:t xml:space="preserve"> </w:t>
      </w:r>
      <w:r w:rsidR="00264A57" w:rsidRPr="00B72D80">
        <w:rPr>
          <w:rFonts w:ascii="Tahoma" w:hAnsi="Tahoma" w:cs="Tahoma"/>
          <w:szCs w:val="24"/>
        </w:rPr>
        <w:t>millones</w:t>
      </w:r>
      <w:r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con</w:t>
      </w:r>
      <w:r>
        <w:rPr>
          <w:rFonts w:ascii="Tahoma" w:hAnsi="Tahoma" w:cs="Tahoma"/>
          <w:szCs w:val="24"/>
        </w:rPr>
        <w:t xml:space="preserve"> relación al presupuesto inicial.</w:t>
      </w:r>
    </w:p>
    <w:p w:rsidR="00EA42EC" w:rsidRDefault="00EA42E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Pr="00B65E8C">
        <w:rPr>
          <w:rFonts w:ascii="Tahoma" w:hAnsi="Tahoma" w:cs="Tahoma"/>
          <w:color w:val="auto"/>
        </w:rPr>
        <w:t xml:space="preserve">el </w:t>
      </w:r>
      <w:r w:rsidR="00F0680C">
        <w:rPr>
          <w:rFonts w:ascii="Tahoma" w:hAnsi="Tahoma" w:cs="Tahoma"/>
          <w:color w:val="auto"/>
        </w:rPr>
        <w:t>Hospital Regional del Líbano E.S.E</w:t>
      </w:r>
      <w:r w:rsidR="003C2C8D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1A7667">
        <w:rPr>
          <w:rFonts w:ascii="Tahoma" w:hAnsi="Tahoma" w:cs="Tahoma"/>
          <w:color w:val="auto"/>
        </w:rPr>
        <w:t>22.444</w:t>
      </w:r>
      <w:r w:rsidR="007C78FA">
        <w:rPr>
          <w:rFonts w:ascii="Tahoma" w:hAnsi="Tahoma" w:cs="Tahoma"/>
          <w:color w:val="auto"/>
        </w:rPr>
        <w:t xml:space="preserve"> </w:t>
      </w:r>
      <w:r w:rsidR="00264A57">
        <w:rPr>
          <w:rFonts w:ascii="Tahoma" w:hAnsi="Tahoma" w:cs="Tahoma"/>
          <w:color w:val="auto"/>
        </w:rPr>
        <w:t>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distribuidos en Gastos de Funcionamiento </w:t>
      </w:r>
      <w:r w:rsidR="001A7667">
        <w:rPr>
          <w:rFonts w:ascii="Tahoma" w:hAnsi="Tahoma" w:cs="Tahoma"/>
          <w:bCs/>
          <w:color w:val="auto"/>
        </w:rPr>
        <w:t>en un 100%.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1A7667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1A7667">
        <w:rPr>
          <w:noProof/>
        </w:rPr>
        <w:lastRenderedPageBreak/>
        <w:drawing>
          <wp:inline distT="0" distB="0" distL="0" distR="0">
            <wp:extent cx="5613400" cy="885526"/>
            <wp:effectExtent l="0" t="0" r="635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88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0B7" w:rsidRDefault="00A300B7" w:rsidP="00B212CE">
      <w:pPr>
        <w:spacing w:before="0" w:after="0"/>
        <w:jc w:val="center"/>
        <w:rPr>
          <w:rFonts w:ascii="Tahoma" w:hAnsi="Tahoma" w:cs="Tahoma"/>
          <w:b/>
        </w:rPr>
      </w:pPr>
    </w:p>
    <w:p w:rsidR="00B212CE" w:rsidRDefault="00A300B7" w:rsidP="00B212CE">
      <w:pPr>
        <w:spacing w:before="0"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CAPITULO 3</w:t>
      </w:r>
    </w:p>
    <w:p w:rsidR="00A300B7" w:rsidRPr="00776215" w:rsidRDefault="00A300B7" w:rsidP="00B212CE">
      <w:pPr>
        <w:spacing w:before="0" w:after="0"/>
        <w:jc w:val="center"/>
        <w:rPr>
          <w:rFonts w:ascii="Tahoma" w:hAnsi="Tahoma" w:cs="Tahoma"/>
          <w:b/>
        </w:rPr>
      </w:pP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8C7A2F" w:rsidP="00B212CE">
      <w:pPr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  <w:lang w:val="es-ES" w:eastAsia="es-ES"/>
        </w:rPr>
        <w:t xml:space="preserve">4.1  </w:t>
      </w:r>
      <w:r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 xml:space="preserve">Una vez analizada la información presupuestal del </w:t>
      </w:r>
      <w:r w:rsidR="00F0680C">
        <w:rPr>
          <w:rFonts w:ascii="Tahoma" w:hAnsi="Tahoma" w:cs="Tahoma"/>
        </w:rPr>
        <w:t>Hospital Regional del Líbano E.S.E</w:t>
      </w:r>
      <w:r w:rsidR="00FB0C19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E606A7">
        <w:rPr>
          <w:rFonts w:ascii="Tahoma" w:hAnsi="Tahoma" w:cs="Tahoma"/>
        </w:rPr>
        <w:t>evidenció que la Entidad</w:t>
      </w:r>
      <w:r w:rsidR="004F7914" w:rsidRPr="00CA76CA">
        <w:rPr>
          <w:rFonts w:ascii="Tahoma" w:hAnsi="Tahoma" w:cs="Tahoma"/>
        </w:rPr>
        <w:t xml:space="preserve">, presentó </w:t>
      </w:r>
      <w:r w:rsidR="00B44FE7">
        <w:rPr>
          <w:rFonts w:ascii="Tahoma" w:hAnsi="Tahoma" w:cs="Tahoma"/>
        </w:rPr>
        <w:t xml:space="preserve">un  </w:t>
      </w:r>
      <w:r w:rsidR="00887A08">
        <w:rPr>
          <w:rFonts w:ascii="Tahoma" w:hAnsi="Tahoma" w:cs="Tahoma"/>
          <w:b/>
          <w:u w:val="single"/>
        </w:rPr>
        <w:t>Déficit P</w:t>
      </w:r>
      <w:r w:rsidR="004F7914" w:rsidRPr="004E212A">
        <w:rPr>
          <w:rFonts w:ascii="Tahoma" w:hAnsi="Tahoma" w:cs="Tahoma"/>
          <w:b/>
          <w:u w:val="single"/>
        </w:rPr>
        <w:t>resupuestal</w:t>
      </w:r>
      <w:r w:rsidR="004F7914" w:rsidRPr="00CA76CA">
        <w:rPr>
          <w:rFonts w:ascii="Tahoma" w:hAnsi="Tahoma" w:cs="Tahoma"/>
        </w:rPr>
        <w:t xml:space="preserve"> en la suma de </w:t>
      </w:r>
      <w:r w:rsidR="00E606A7" w:rsidRPr="00E606A7">
        <w:rPr>
          <w:rFonts w:ascii="Tahoma" w:eastAsia="Times New Roman" w:hAnsi="Tahoma" w:cs="Tahoma"/>
          <w:b/>
          <w:color w:val="auto"/>
          <w:sz w:val="20"/>
          <w:szCs w:val="20"/>
        </w:rPr>
        <w:t xml:space="preserve"> $</w:t>
      </w:r>
      <w:r w:rsidR="00887A08">
        <w:rPr>
          <w:rFonts w:ascii="Tahoma" w:eastAsia="Times New Roman" w:hAnsi="Tahoma" w:cs="Tahoma"/>
          <w:b/>
          <w:color w:val="auto"/>
          <w:sz w:val="20"/>
          <w:szCs w:val="20"/>
        </w:rPr>
        <w:t xml:space="preserve">3.613 </w:t>
      </w:r>
      <w:r w:rsidR="00887A08" w:rsidRPr="00887A08">
        <w:rPr>
          <w:rFonts w:ascii="Tahoma" w:eastAsia="Times New Roman" w:hAnsi="Tahoma" w:cs="Tahoma"/>
          <w:color w:val="auto"/>
          <w:sz w:val="20"/>
          <w:szCs w:val="20"/>
        </w:rPr>
        <w:t>Millones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F5662B">
        <w:rPr>
          <w:rFonts w:ascii="Tahoma" w:hAnsi="Tahoma" w:cs="Tahoma"/>
        </w:rPr>
        <w:t>m</w:t>
      </w:r>
      <w:r w:rsidR="00887A08">
        <w:rPr>
          <w:rFonts w:ascii="Tahoma" w:hAnsi="Tahoma" w:cs="Tahoma"/>
        </w:rPr>
        <w:t>ayores</w:t>
      </w:r>
      <w:r w:rsidR="00F5662B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 a los ingresos efectivamente recaudados.  Ver Tabla.</w:t>
      </w:r>
    </w:p>
    <w:p w:rsidR="008C7A2F" w:rsidRDefault="008C7A2F" w:rsidP="00B212CE"/>
    <w:p w:rsidR="00477304" w:rsidRDefault="00887A08" w:rsidP="00E606A7">
      <w:pPr>
        <w:jc w:val="center"/>
      </w:pPr>
      <w:r w:rsidRPr="00887A08">
        <w:rPr>
          <w:noProof/>
        </w:rPr>
        <w:drawing>
          <wp:inline distT="0" distB="0" distL="0" distR="0">
            <wp:extent cx="5613400" cy="660290"/>
            <wp:effectExtent l="0" t="0" r="0" b="698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6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5F4548">
      <w:headerReference w:type="default" r:id="rId16"/>
      <w:footerReference w:type="default" r:id="rId17"/>
      <w:pgSz w:w="12242" w:h="15842" w:code="1"/>
      <w:pgMar w:top="1985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B83" w:rsidRDefault="00685B83" w:rsidP="00650A99">
      <w:r>
        <w:separator/>
      </w:r>
    </w:p>
  </w:endnote>
  <w:endnote w:type="continuationSeparator" w:id="0">
    <w:p w:rsidR="00685B83" w:rsidRDefault="00685B83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BCDECC" wp14:editId="61BC0D73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B8466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BCDEC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B8466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5CF0B6" wp14:editId="368B3A3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B84660" w:rsidRPr="00B8466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5CF0B6"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B84660" w:rsidRPr="00B8466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B83" w:rsidRDefault="00685B83" w:rsidP="00650A99">
      <w:r>
        <w:separator/>
      </w:r>
    </w:p>
  </w:footnote>
  <w:footnote w:type="continuationSeparator" w:id="0">
    <w:p w:rsidR="00685B83" w:rsidRDefault="00685B83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124F58" w:rsidRDefault="00F14647">
    <w:pPr>
      <w:pStyle w:val="Encabezado"/>
      <w:rPr>
        <w:rFonts w:ascii="Tahoma" w:hAnsi="Tahoma" w:cs="Tahoma"/>
        <w:sz w:val="8"/>
      </w:rPr>
    </w:pPr>
    <w:r>
      <w:rPr>
        <w:rFonts w:ascii="Tahoma" w:hAnsi="Tahoma" w:cs="Tahoma"/>
        <w:noProof/>
        <w:sz w:val="8"/>
      </w:rPr>
      <w:drawing>
        <wp:inline distT="0" distB="0" distL="0" distR="0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2FBA" w:rsidRDefault="00F82F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05207"/>
    <w:rsid w:val="00014DDB"/>
    <w:rsid w:val="000229B5"/>
    <w:rsid w:val="00025419"/>
    <w:rsid w:val="00025DD5"/>
    <w:rsid w:val="00025E5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0820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95F5B"/>
    <w:rsid w:val="000A038D"/>
    <w:rsid w:val="000A1063"/>
    <w:rsid w:val="000A4699"/>
    <w:rsid w:val="000A5CEE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171C4"/>
    <w:rsid w:val="00120691"/>
    <w:rsid w:val="001206EF"/>
    <w:rsid w:val="00124F58"/>
    <w:rsid w:val="001301DF"/>
    <w:rsid w:val="00131E4E"/>
    <w:rsid w:val="00132C47"/>
    <w:rsid w:val="0013431C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3B90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6F51"/>
    <w:rsid w:val="001A3646"/>
    <w:rsid w:val="001A5473"/>
    <w:rsid w:val="001A7667"/>
    <w:rsid w:val="001B04E0"/>
    <w:rsid w:val="001B0E71"/>
    <w:rsid w:val="001B29EB"/>
    <w:rsid w:val="001B475A"/>
    <w:rsid w:val="001B6490"/>
    <w:rsid w:val="001B6C00"/>
    <w:rsid w:val="001B7582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1F7FC1"/>
    <w:rsid w:val="002016AE"/>
    <w:rsid w:val="00201E97"/>
    <w:rsid w:val="00202B7B"/>
    <w:rsid w:val="002049C5"/>
    <w:rsid w:val="00207031"/>
    <w:rsid w:val="00211946"/>
    <w:rsid w:val="00213F57"/>
    <w:rsid w:val="00214DD0"/>
    <w:rsid w:val="00214E00"/>
    <w:rsid w:val="00216974"/>
    <w:rsid w:val="00217086"/>
    <w:rsid w:val="00217489"/>
    <w:rsid w:val="00217A03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EC9"/>
    <w:rsid w:val="00256F6A"/>
    <w:rsid w:val="0026039E"/>
    <w:rsid w:val="002628DC"/>
    <w:rsid w:val="00264A57"/>
    <w:rsid w:val="00267A53"/>
    <w:rsid w:val="002702FE"/>
    <w:rsid w:val="00272E50"/>
    <w:rsid w:val="002733BF"/>
    <w:rsid w:val="002751D2"/>
    <w:rsid w:val="002761E7"/>
    <w:rsid w:val="00277CE1"/>
    <w:rsid w:val="00281155"/>
    <w:rsid w:val="00281C30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C45DB"/>
    <w:rsid w:val="002D376E"/>
    <w:rsid w:val="002D5091"/>
    <w:rsid w:val="002D62AF"/>
    <w:rsid w:val="002D73B8"/>
    <w:rsid w:val="002E1768"/>
    <w:rsid w:val="002E1E7F"/>
    <w:rsid w:val="002E34BD"/>
    <w:rsid w:val="002E4D5C"/>
    <w:rsid w:val="002E6C96"/>
    <w:rsid w:val="002F0376"/>
    <w:rsid w:val="002F13E5"/>
    <w:rsid w:val="002F1B9A"/>
    <w:rsid w:val="002F3B9C"/>
    <w:rsid w:val="00300E2D"/>
    <w:rsid w:val="0030196A"/>
    <w:rsid w:val="00302682"/>
    <w:rsid w:val="003026A2"/>
    <w:rsid w:val="00303824"/>
    <w:rsid w:val="003066F8"/>
    <w:rsid w:val="003141AA"/>
    <w:rsid w:val="00314840"/>
    <w:rsid w:val="00317880"/>
    <w:rsid w:val="003203FA"/>
    <w:rsid w:val="003205FF"/>
    <w:rsid w:val="00321EC8"/>
    <w:rsid w:val="00322659"/>
    <w:rsid w:val="0032401F"/>
    <w:rsid w:val="00324AA5"/>
    <w:rsid w:val="003305B2"/>
    <w:rsid w:val="00331F72"/>
    <w:rsid w:val="003322BF"/>
    <w:rsid w:val="003326A6"/>
    <w:rsid w:val="00332DE4"/>
    <w:rsid w:val="00335108"/>
    <w:rsid w:val="00336F16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B3F"/>
    <w:rsid w:val="00362AAB"/>
    <w:rsid w:val="00367349"/>
    <w:rsid w:val="00367CB1"/>
    <w:rsid w:val="00370F6C"/>
    <w:rsid w:val="00372933"/>
    <w:rsid w:val="00372F40"/>
    <w:rsid w:val="00373B6D"/>
    <w:rsid w:val="003751E2"/>
    <w:rsid w:val="00375CC7"/>
    <w:rsid w:val="00382640"/>
    <w:rsid w:val="00383152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0C24"/>
    <w:rsid w:val="003B35B9"/>
    <w:rsid w:val="003B6AFE"/>
    <w:rsid w:val="003B6F79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EBC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245"/>
    <w:rsid w:val="00415CC3"/>
    <w:rsid w:val="00420DA8"/>
    <w:rsid w:val="00425F29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376E"/>
    <w:rsid w:val="0044795F"/>
    <w:rsid w:val="004511D7"/>
    <w:rsid w:val="00452E65"/>
    <w:rsid w:val="00454315"/>
    <w:rsid w:val="00454B8B"/>
    <w:rsid w:val="0045772A"/>
    <w:rsid w:val="004643ED"/>
    <w:rsid w:val="00466F36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24B6"/>
    <w:rsid w:val="004A6393"/>
    <w:rsid w:val="004A698D"/>
    <w:rsid w:val="004A7153"/>
    <w:rsid w:val="004B10C8"/>
    <w:rsid w:val="004B1676"/>
    <w:rsid w:val="004B3739"/>
    <w:rsid w:val="004B3A5F"/>
    <w:rsid w:val="004B4B12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53B6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32E9"/>
    <w:rsid w:val="00504C03"/>
    <w:rsid w:val="00505067"/>
    <w:rsid w:val="005059BE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831"/>
    <w:rsid w:val="00577624"/>
    <w:rsid w:val="00577ABF"/>
    <w:rsid w:val="00581A4A"/>
    <w:rsid w:val="00582CF0"/>
    <w:rsid w:val="005857D2"/>
    <w:rsid w:val="00585BCF"/>
    <w:rsid w:val="00585ED0"/>
    <w:rsid w:val="0058720B"/>
    <w:rsid w:val="005916D2"/>
    <w:rsid w:val="00591B11"/>
    <w:rsid w:val="00595823"/>
    <w:rsid w:val="00595C35"/>
    <w:rsid w:val="00595DA7"/>
    <w:rsid w:val="00595ED2"/>
    <w:rsid w:val="00596486"/>
    <w:rsid w:val="00596574"/>
    <w:rsid w:val="005A6091"/>
    <w:rsid w:val="005A61E4"/>
    <w:rsid w:val="005A66BA"/>
    <w:rsid w:val="005B1E55"/>
    <w:rsid w:val="005B6E10"/>
    <w:rsid w:val="005B6F12"/>
    <w:rsid w:val="005C020F"/>
    <w:rsid w:val="005C0BE3"/>
    <w:rsid w:val="005C0DCB"/>
    <w:rsid w:val="005C1B8F"/>
    <w:rsid w:val="005C2311"/>
    <w:rsid w:val="005C46B0"/>
    <w:rsid w:val="005C584D"/>
    <w:rsid w:val="005C59D9"/>
    <w:rsid w:val="005D173F"/>
    <w:rsid w:val="005D17BC"/>
    <w:rsid w:val="005D1C2D"/>
    <w:rsid w:val="005D2D1A"/>
    <w:rsid w:val="005D4B42"/>
    <w:rsid w:val="005D655F"/>
    <w:rsid w:val="005D6811"/>
    <w:rsid w:val="005D6B64"/>
    <w:rsid w:val="005E0382"/>
    <w:rsid w:val="005E0E4A"/>
    <w:rsid w:val="005E1D3C"/>
    <w:rsid w:val="005E1DE9"/>
    <w:rsid w:val="005E5D9A"/>
    <w:rsid w:val="005E5E78"/>
    <w:rsid w:val="005F11EA"/>
    <w:rsid w:val="005F2A16"/>
    <w:rsid w:val="005F4548"/>
    <w:rsid w:val="005F4A02"/>
    <w:rsid w:val="005F5D93"/>
    <w:rsid w:val="00603AAD"/>
    <w:rsid w:val="00604208"/>
    <w:rsid w:val="00604368"/>
    <w:rsid w:val="00604E5C"/>
    <w:rsid w:val="00606BF2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6089"/>
    <w:rsid w:val="00640913"/>
    <w:rsid w:val="00640F10"/>
    <w:rsid w:val="00641842"/>
    <w:rsid w:val="00646040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5A07"/>
    <w:rsid w:val="00675FC0"/>
    <w:rsid w:val="00676443"/>
    <w:rsid w:val="00677A07"/>
    <w:rsid w:val="006806F7"/>
    <w:rsid w:val="006807AC"/>
    <w:rsid w:val="00682367"/>
    <w:rsid w:val="00682C69"/>
    <w:rsid w:val="00685B83"/>
    <w:rsid w:val="00685EF4"/>
    <w:rsid w:val="006879BE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42"/>
    <w:rsid w:val="006A75AC"/>
    <w:rsid w:val="006B0537"/>
    <w:rsid w:val="006B3147"/>
    <w:rsid w:val="006B5985"/>
    <w:rsid w:val="006B5999"/>
    <w:rsid w:val="006B765E"/>
    <w:rsid w:val="006B767F"/>
    <w:rsid w:val="006C2DBA"/>
    <w:rsid w:val="006C7116"/>
    <w:rsid w:val="006D2832"/>
    <w:rsid w:val="006D2B4A"/>
    <w:rsid w:val="006D521C"/>
    <w:rsid w:val="006D569B"/>
    <w:rsid w:val="006D7C83"/>
    <w:rsid w:val="006E1704"/>
    <w:rsid w:val="006E21C8"/>
    <w:rsid w:val="006E4583"/>
    <w:rsid w:val="006E5817"/>
    <w:rsid w:val="006F03F4"/>
    <w:rsid w:val="006F26B2"/>
    <w:rsid w:val="006F58C5"/>
    <w:rsid w:val="006F5B7D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E1A"/>
    <w:rsid w:val="00745063"/>
    <w:rsid w:val="00745F39"/>
    <w:rsid w:val="00747180"/>
    <w:rsid w:val="00751860"/>
    <w:rsid w:val="007519F4"/>
    <w:rsid w:val="00755B8D"/>
    <w:rsid w:val="00757560"/>
    <w:rsid w:val="00760198"/>
    <w:rsid w:val="00760A17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828B7"/>
    <w:rsid w:val="00782F33"/>
    <w:rsid w:val="0078344D"/>
    <w:rsid w:val="007857D0"/>
    <w:rsid w:val="007864C5"/>
    <w:rsid w:val="007877F3"/>
    <w:rsid w:val="00790020"/>
    <w:rsid w:val="00790739"/>
    <w:rsid w:val="00792612"/>
    <w:rsid w:val="00796DDA"/>
    <w:rsid w:val="007A35B9"/>
    <w:rsid w:val="007A4D8D"/>
    <w:rsid w:val="007B0798"/>
    <w:rsid w:val="007B2470"/>
    <w:rsid w:val="007B4882"/>
    <w:rsid w:val="007B5621"/>
    <w:rsid w:val="007B5998"/>
    <w:rsid w:val="007B6AD6"/>
    <w:rsid w:val="007B6E4D"/>
    <w:rsid w:val="007B6F76"/>
    <w:rsid w:val="007B70F7"/>
    <w:rsid w:val="007C336F"/>
    <w:rsid w:val="007C4270"/>
    <w:rsid w:val="007C44A2"/>
    <w:rsid w:val="007C450B"/>
    <w:rsid w:val="007C4578"/>
    <w:rsid w:val="007C532D"/>
    <w:rsid w:val="007C6E41"/>
    <w:rsid w:val="007C78FA"/>
    <w:rsid w:val="007D2E65"/>
    <w:rsid w:val="007D411F"/>
    <w:rsid w:val="007D55D5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6842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69B2"/>
    <w:rsid w:val="00836C5C"/>
    <w:rsid w:val="00836FC3"/>
    <w:rsid w:val="008374DF"/>
    <w:rsid w:val="008375EB"/>
    <w:rsid w:val="008442CE"/>
    <w:rsid w:val="008445AE"/>
    <w:rsid w:val="00844F12"/>
    <w:rsid w:val="0084571C"/>
    <w:rsid w:val="00847D1F"/>
    <w:rsid w:val="00852E16"/>
    <w:rsid w:val="00853A9A"/>
    <w:rsid w:val="00854274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87A08"/>
    <w:rsid w:val="008956AB"/>
    <w:rsid w:val="00896EAD"/>
    <w:rsid w:val="008A0307"/>
    <w:rsid w:val="008A3FB8"/>
    <w:rsid w:val="008A4B1D"/>
    <w:rsid w:val="008A5D7F"/>
    <w:rsid w:val="008A7407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6204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6286"/>
    <w:rsid w:val="00926317"/>
    <w:rsid w:val="00926B45"/>
    <w:rsid w:val="0093138C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B6E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97599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7FA"/>
    <w:rsid w:val="009B7AC7"/>
    <w:rsid w:val="009C0615"/>
    <w:rsid w:val="009C3106"/>
    <w:rsid w:val="009C3354"/>
    <w:rsid w:val="009C5C1A"/>
    <w:rsid w:val="009C7A81"/>
    <w:rsid w:val="009C7C0D"/>
    <w:rsid w:val="009D4B99"/>
    <w:rsid w:val="009D7BF6"/>
    <w:rsid w:val="009D7ECE"/>
    <w:rsid w:val="009E0CF7"/>
    <w:rsid w:val="009E2C78"/>
    <w:rsid w:val="009E5D05"/>
    <w:rsid w:val="009F0492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AE4"/>
    <w:rsid w:val="00A20940"/>
    <w:rsid w:val="00A24C85"/>
    <w:rsid w:val="00A258F0"/>
    <w:rsid w:val="00A300B7"/>
    <w:rsid w:val="00A329EF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2FB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371D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2311"/>
    <w:rsid w:val="00AB37B1"/>
    <w:rsid w:val="00AB4FFD"/>
    <w:rsid w:val="00AB5DC4"/>
    <w:rsid w:val="00AC2164"/>
    <w:rsid w:val="00AC2B0C"/>
    <w:rsid w:val="00AC4815"/>
    <w:rsid w:val="00AC4CBD"/>
    <w:rsid w:val="00AC4EE0"/>
    <w:rsid w:val="00AC5CBF"/>
    <w:rsid w:val="00AC6DD0"/>
    <w:rsid w:val="00AD0C4B"/>
    <w:rsid w:val="00AD0D11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C81"/>
    <w:rsid w:val="00B24EC6"/>
    <w:rsid w:val="00B258AA"/>
    <w:rsid w:val="00B26183"/>
    <w:rsid w:val="00B262CD"/>
    <w:rsid w:val="00B33ABA"/>
    <w:rsid w:val="00B36688"/>
    <w:rsid w:val="00B36BB2"/>
    <w:rsid w:val="00B3721E"/>
    <w:rsid w:val="00B401FB"/>
    <w:rsid w:val="00B430BE"/>
    <w:rsid w:val="00B44FE7"/>
    <w:rsid w:val="00B51E12"/>
    <w:rsid w:val="00B5275F"/>
    <w:rsid w:val="00B5293B"/>
    <w:rsid w:val="00B55631"/>
    <w:rsid w:val="00B557F8"/>
    <w:rsid w:val="00B57DCE"/>
    <w:rsid w:val="00B62473"/>
    <w:rsid w:val="00B63D83"/>
    <w:rsid w:val="00B6483D"/>
    <w:rsid w:val="00B65E8C"/>
    <w:rsid w:val="00B72D80"/>
    <w:rsid w:val="00B7361A"/>
    <w:rsid w:val="00B7420F"/>
    <w:rsid w:val="00B74F06"/>
    <w:rsid w:val="00B760AE"/>
    <w:rsid w:val="00B761E4"/>
    <w:rsid w:val="00B76887"/>
    <w:rsid w:val="00B76DC7"/>
    <w:rsid w:val="00B80A6C"/>
    <w:rsid w:val="00B8182A"/>
    <w:rsid w:val="00B82557"/>
    <w:rsid w:val="00B83B9D"/>
    <w:rsid w:val="00B83BF2"/>
    <w:rsid w:val="00B84660"/>
    <w:rsid w:val="00B8540B"/>
    <w:rsid w:val="00B863C0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26F"/>
    <w:rsid w:val="00BB2EB5"/>
    <w:rsid w:val="00BB3D88"/>
    <w:rsid w:val="00BB6186"/>
    <w:rsid w:val="00BB7F4D"/>
    <w:rsid w:val="00BC2190"/>
    <w:rsid w:val="00BC265C"/>
    <w:rsid w:val="00BC3C07"/>
    <w:rsid w:val="00BD0A7B"/>
    <w:rsid w:val="00BD155E"/>
    <w:rsid w:val="00BD16BE"/>
    <w:rsid w:val="00BD34BB"/>
    <w:rsid w:val="00BD39F4"/>
    <w:rsid w:val="00BD4C82"/>
    <w:rsid w:val="00BE1C07"/>
    <w:rsid w:val="00BE325A"/>
    <w:rsid w:val="00BE515D"/>
    <w:rsid w:val="00BE5368"/>
    <w:rsid w:val="00BE6F56"/>
    <w:rsid w:val="00BE7F1F"/>
    <w:rsid w:val="00BF3E26"/>
    <w:rsid w:val="00BF3F76"/>
    <w:rsid w:val="00BF4001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617D"/>
    <w:rsid w:val="00C16960"/>
    <w:rsid w:val="00C17E72"/>
    <w:rsid w:val="00C20CA8"/>
    <w:rsid w:val="00C20E26"/>
    <w:rsid w:val="00C22DBE"/>
    <w:rsid w:val="00C24542"/>
    <w:rsid w:val="00C248C2"/>
    <w:rsid w:val="00C2726C"/>
    <w:rsid w:val="00C276A2"/>
    <w:rsid w:val="00C32B9A"/>
    <w:rsid w:val="00C32E28"/>
    <w:rsid w:val="00C3332E"/>
    <w:rsid w:val="00C334D1"/>
    <w:rsid w:val="00C33A79"/>
    <w:rsid w:val="00C35DD4"/>
    <w:rsid w:val="00C36BE7"/>
    <w:rsid w:val="00C37791"/>
    <w:rsid w:val="00C37A7B"/>
    <w:rsid w:val="00C43064"/>
    <w:rsid w:val="00C4551F"/>
    <w:rsid w:val="00C46A08"/>
    <w:rsid w:val="00C47D9E"/>
    <w:rsid w:val="00C50D7D"/>
    <w:rsid w:val="00C51797"/>
    <w:rsid w:val="00C52DFE"/>
    <w:rsid w:val="00C541A9"/>
    <w:rsid w:val="00C54674"/>
    <w:rsid w:val="00C54A4A"/>
    <w:rsid w:val="00C54B1F"/>
    <w:rsid w:val="00C55945"/>
    <w:rsid w:val="00C56A9B"/>
    <w:rsid w:val="00C572C4"/>
    <w:rsid w:val="00C65605"/>
    <w:rsid w:val="00C6646F"/>
    <w:rsid w:val="00C6685D"/>
    <w:rsid w:val="00C70370"/>
    <w:rsid w:val="00C70B40"/>
    <w:rsid w:val="00C72CA5"/>
    <w:rsid w:val="00C72D32"/>
    <w:rsid w:val="00C74619"/>
    <w:rsid w:val="00C748C2"/>
    <w:rsid w:val="00C75B58"/>
    <w:rsid w:val="00C769E0"/>
    <w:rsid w:val="00C77C02"/>
    <w:rsid w:val="00C81635"/>
    <w:rsid w:val="00C81A7B"/>
    <w:rsid w:val="00C86BF5"/>
    <w:rsid w:val="00C86CA5"/>
    <w:rsid w:val="00C945E3"/>
    <w:rsid w:val="00C97EEB"/>
    <w:rsid w:val="00CA1EFC"/>
    <w:rsid w:val="00CA5E43"/>
    <w:rsid w:val="00CA637D"/>
    <w:rsid w:val="00CA6501"/>
    <w:rsid w:val="00CA669B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3A6C"/>
    <w:rsid w:val="00CE225D"/>
    <w:rsid w:val="00CE3386"/>
    <w:rsid w:val="00CE6524"/>
    <w:rsid w:val="00CF0493"/>
    <w:rsid w:val="00CF11FD"/>
    <w:rsid w:val="00CF20E1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69A0"/>
    <w:rsid w:val="00D27BCA"/>
    <w:rsid w:val="00D32BE4"/>
    <w:rsid w:val="00D33A0E"/>
    <w:rsid w:val="00D34898"/>
    <w:rsid w:val="00D35428"/>
    <w:rsid w:val="00D373F0"/>
    <w:rsid w:val="00D37BAF"/>
    <w:rsid w:val="00D42439"/>
    <w:rsid w:val="00D44B0C"/>
    <w:rsid w:val="00D4672B"/>
    <w:rsid w:val="00D47B0A"/>
    <w:rsid w:val="00D51763"/>
    <w:rsid w:val="00D534DF"/>
    <w:rsid w:val="00D56C57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4E9D"/>
    <w:rsid w:val="00DA6502"/>
    <w:rsid w:val="00DB3E9F"/>
    <w:rsid w:val="00DB7F92"/>
    <w:rsid w:val="00DC5A57"/>
    <w:rsid w:val="00DD0243"/>
    <w:rsid w:val="00DD0981"/>
    <w:rsid w:val="00DD0F92"/>
    <w:rsid w:val="00DD4DC9"/>
    <w:rsid w:val="00DD5CA9"/>
    <w:rsid w:val="00DD69A0"/>
    <w:rsid w:val="00DD6F21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DF7B6F"/>
    <w:rsid w:val="00E00EAB"/>
    <w:rsid w:val="00E0299E"/>
    <w:rsid w:val="00E04672"/>
    <w:rsid w:val="00E058B1"/>
    <w:rsid w:val="00E07253"/>
    <w:rsid w:val="00E10692"/>
    <w:rsid w:val="00E111B6"/>
    <w:rsid w:val="00E14628"/>
    <w:rsid w:val="00E149B3"/>
    <w:rsid w:val="00E15028"/>
    <w:rsid w:val="00E15E67"/>
    <w:rsid w:val="00E2010C"/>
    <w:rsid w:val="00E21B5E"/>
    <w:rsid w:val="00E2269A"/>
    <w:rsid w:val="00E2292C"/>
    <w:rsid w:val="00E255C8"/>
    <w:rsid w:val="00E27D3B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06D"/>
    <w:rsid w:val="00E4268B"/>
    <w:rsid w:val="00E42DEF"/>
    <w:rsid w:val="00E438FA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6A7"/>
    <w:rsid w:val="00E60742"/>
    <w:rsid w:val="00E62630"/>
    <w:rsid w:val="00E71D96"/>
    <w:rsid w:val="00E745B9"/>
    <w:rsid w:val="00E77D2F"/>
    <w:rsid w:val="00E80BDE"/>
    <w:rsid w:val="00E80CF1"/>
    <w:rsid w:val="00E82400"/>
    <w:rsid w:val="00E83353"/>
    <w:rsid w:val="00E85A59"/>
    <w:rsid w:val="00E9062E"/>
    <w:rsid w:val="00E95500"/>
    <w:rsid w:val="00E97BD8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E108B"/>
    <w:rsid w:val="00EE23CA"/>
    <w:rsid w:val="00EE272E"/>
    <w:rsid w:val="00EE30F0"/>
    <w:rsid w:val="00EE40F7"/>
    <w:rsid w:val="00EE4FEA"/>
    <w:rsid w:val="00EE543C"/>
    <w:rsid w:val="00EF06FE"/>
    <w:rsid w:val="00EF0F9F"/>
    <w:rsid w:val="00EF1F54"/>
    <w:rsid w:val="00EF28ED"/>
    <w:rsid w:val="00EF4447"/>
    <w:rsid w:val="00EF51FE"/>
    <w:rsid w:val="00EF645F"/>
    <w:rsid w:val="00EF7F03"/>
    <w:rsid w:val="00F01997"/>
    <w:rsid w:val="00F06007"/>
    <w:rsid w:val="00F067EF"/>
    <w:rsid w:val="00F0680C"/>
    <w:rsid w:val="00F06B21"/>
    <w:rsid w:val="00F10463"/>
    <w:rsid w:val="00F12D1C"/>
    <w:rsid w:val="00F12DF7"/>
    <w:rsid w:val="00F14647"/>
    <w:rsid w:val="00F14B06"/>
    <w:rsid w:val="00F1519B"/>
    <w:rsid w:val="00F21145"/>
    <w:rsid w:val="00F21980"/>
    <w:rsid w:val="00F237C2"/>
    <w:rsid w:val="00F33B1A"/>
    <w:rsid w:val="00F3429D"/>
    <w:rsid w:val="00F343E9"/>
    <w:rsid w:val="00F344D5"/>
    <w:rsid w:val="00F3457F"/>
    <w:rsid w:val="00F413A2"/>
    <w:rsid w:val="00F41E22"/>
    <w:rsid w:val="00F437B7"/>
    <w:rsid w:val="00F43939"/>
    <w:rsid w:val="00F451AC"/>
    <w:rsid w:val="00F4726A"/>
    <w:rsid w:val="00F50500"/>
    <w:rsid w:val="00F50DE8"/>
    <w:rsid w:val="00F5220F"/>
    <w:rsid w:val="00F525B8"/>
    <w:rsid w:val="00F53DF6"/>
    <w:rsid w:val="00F5662B"/>
    <w:rsid w:val="00F57D5F"/>
    <w:rsid w:val="00F64422"/>
    <w:rsid w:val="00F655F7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C3737"/>
    <w:rsid w:val="00FC413F"/>
    <w:rsid w:val="00FC614A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3E1A"/>
    <w:rsid w:val="00FF4F90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0EAB7E21-0D2E-449F-8194-BB300182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Gr&#225;fico%20en%20Microsoft%20Word" TargetMode="External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2.xlsx"/><Relationship Id="rId1" Type="http://schemas.openxmlformats.org/officeDocument/2006/relationships/image" Target="../media/image2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MEMORIA\Graciela\CUADROS%20INGRESOS%20-%20GASTOS%20HOSPITAL%20DE%20LIBANO.xls" TargetMode="External"/><Relationship Id="rId1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695057484011682"/>
          <c:y val="3.6714681498146065E-2"/>
          <c:w val="0.38725684817566819"/>
          <c:h val="0.8804425488480606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#.##0_);_(* \(#.##0\);_(* "-"??_);_(@_)</c:formatCode>
                <c:ptCount val="1"/>
                <c:pt idx="0">
                  <c:v>16243920469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#.##0_);_(* \(#.##0\);_(* "-"??_);_(@_)</c:formatCode>
                <c:ptCount val="1"/>
                <c:pt idx="0">
                  <c:v>7389274881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#.##0_);_(* \(#.##0\);_(* "-"??_);_(@_)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#,##0</c:formatCode>
                <c:ptCount val="1"/>
                <c:pt idx="0">
                  <c:v>23633195350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-1761967232"/>
        <c:axId val="-1761972672"/>
        <c:axId val="-1292499808"/>
      </c:bar3DChart>
      <c:catAx>
        <c:axId val="-1761967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1761972672"/>
        <c:crosses val="autoZero"/>
        <c:auto val="1"/>
        <c:lblAlgn val="ctr"/>
        <c:lblOffset val="100"/>
        <c:noMultiLvlLbl val="0"/>
      </c:catAx>
      <c:valAx>
        <c:axId val="-1761972672"/>
        <c:scaling>
          <c:orientation val="minMax"/>
        </c:scaling>
        <c:delete val="0"/>
        <c:axPos val="l"/>
        <c:majorGridlines/>
        <c:numFmt formatCode="_(* #.##0_);_(* \(#.##0\);_(* &quot;-&quot;??_);_(@_)" sourceLinked="1"/>
        <c:majorTickMark val="out"/>
        <c:minorTickMark val="none"/>
        <c:tickLblPos val="nextTo"/>
        <c:crossAx val="-1761967232"/>
        <c:crosses val="autoZero"/>
        <c:crossBetween val="between"/>
      </c:valAx>
      <c:serAx>
        <c:axId val="-1292499808"/>
        <c:scaling>
          <c:orientation val="minMax"/>
        </c:scaling>
        <c:delete val="0"/>
        <c:axPos val="b"/>
        <c:majorTickMark val="out"/>
        <c:minorTickMark val="none"/>
        <c:tickLblPos val="nextTo"/>
        <c:crossAx val="-1761972672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CO">
                <a:solidFill>
                  <a:sysClr val="windowText" lastClr="000000"/>
                </a:solidFill>
              </a:rPr>
              <a:t>PRESUPUESTO INICIAL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38888888888889"/>
          <c:y val="0.24188356663750366"/>
          <c:w val="0.81388888888888888"/>
          <c:h val="0.6575754593175853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1"/>
              <c:layout>
                <c:manualLayout>
                  <c:x val="-0.26111111111111124"/>
                  <c:y val="-7.870370370370370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21388888888888888"/>
                  <c:y val="4.629629629629629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'[Gráfico en Microsoft Word]Hoja1'!$A$10:$A$12</c:f>
              <c:strCache>
                <c:ptCount val="3"/>
                <c:pt idx="0">
                  <c:v>PRESUPUESTO INICIAL</c:v>
                </c:pt>
                <c:pt idx="1">
                  <c:v>Venta de Servicios de Salud</c:v>
                </c:pt>
                <c:pt idx="2">
                  <c:v>Recursos de Capital  </c:v>
                </c:pt>
              </c:strCache>
            </c:strRef>
          </c:cat>
          <c:val>
            <c:numRef>
              <c:f>'[Gráfico en Microsoft Word]Hoja1'!$B$10:$B$12</c:f>
              <c:numCache>
                <c:formatCode>_(* #,##0.00_);_(* \(#,##0.00\);_(* "-"??_);_(@_)</c:formatCode>
                <c:ptCount val="3"/>
                <c:pt idx="1">
                  <c:v>8810250734</c:v>
                </c:pt>
                <c:pt idx="2">
                  <c:v>7433669735</c:v>
                </c:pt>
              </c:numCache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O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O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CO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'[Gráfico en Microsoft Word]Hoja1'!$A$10:$A$12</c:f>
              <c:strCache>
                <c:ptCount val="3"/>
                <c:pt idx="0">
                  <c:v>PRESUPUESTO INICIAL</c:v>
                </c:pt>
                <c:pt idx="1">
                  <c:v>Venta de Servicios de Salud</c:v>
                </c:pt>
                <c:pt idx="2">
                  <c:v>Recursos de Capital  </c:v>
                </c:pt>
              </c:strCache>
            </c:strRef>
          </c:cat>
          <c:val>
            <c:numRef>
              <c:f>'[Gráfico en Microsoft Word]Hoja1'!$C$10:$C$12</c:f>
              <c:numCache>
                <c:formatCode>0%</c:formatCode>
                <c:ptCount val="3"/>
                <c:pt idx="1">
                  <c:v>0.54</c:v>
                </c:pt>
                <c:pt idx="2">
                  <c:v>0.46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flip="none" rotWithShape="1">
              <a:gsLst>
                <a:gs pos="0">
                  <a:srgbClr val="FFFF00"/>
                </a:gs>
                <a:gs pos="72000">
                  <a:schemeClr val="accent6">
                    <a:lumMod val="0"/>
                    <a:lumOff val="100000"/>
                  </a:schemeClr>
                </a:gs>
                <a:gs pos="100000">
                  <a:schemeClr val="accent6">
                    <a:lumMod val="100000"/>
                  </a:schemeClr>
                </a:gs>
              </a:gsLst>
              <a:path path="circle">
                <a:fillToRect l="50000" t="-80000" r="50000" b="180000"/>
              </a:path>
              <a:tileRect/>
            </a:gradFill>
          </c:spPr>
          <c:invertIfNegative val="0"/>
          <c:cat>
            <c:strRef>
              <c:f>Hoja1!$A$2:$A$5</c:f>
              <c:strCache>
                <c:ptCount val="4"/>
                <c:pt idx="0">
                  <c:v>Ppto Inicial</c:v>
                </c:pt>
                <c:pt idx="1">
                  <c:v>Ppto Definitivo</c:v>
                </c:pt>
                <c:pt idx="2">
                  <c:v>Total Recaudado</c:v>
                </c:pt>
                <c:pt idx="3">
                  <c:v>Por Recaudar</c:v>
                </c:pt>
              </c:strCache>
            </c:strRef>
          </c:cat>
          <c:val>
            <c:numRef>
              <c:f>Hoja1!$B$2:$B$5</c:f>
              <c:numCache>
                <c:formatCode>_(* #.;_(* \(#.;_(* "-"??_);_(@_ⴆ</c:formatCode>
                <c:ptCount val="4"/>
                <c:pt idx="0">
                  <c:v>16243</c:v>
                </c:pt>
                <c:pt idx="1">
                  <c:v>23633</c:v>
                </c:pt>
                <c:pt idx="2">
                  <c:v>18831</c:v>
                </c:pt>
                <c:pt idx="3">
                  <c:v>4801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-1761966688"/>
        <c:axId val="-1761963424"/>
      </c:barChart>
      <c:catAx>
        <c:axId val="-17619666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-1761963424"/>
        <c:crosses val="autoZero"/>
        <c:auto val="1"/>
        <c:lblAlgn val="ctr"/>
        <c:lblOffset val="100"/>
        <c:noMultiLvlLbl val="0"/>
      </c:catAx>
      <c:valAx>
        <c:axId val="-1761963424"/>
        <c:scaling>
          <c:orientation val="minMax"/>
        </c:scaling>
        <c:delete val="0"/>
        <c:axPos val="l"/>
        <c:majorGridlines/>
        <c:numFmt formatCode="_(* #.;_(* \(#.;_(* &quot;-&quot;??_);_(@_ⴆ" sourceLinked="1"/>
        <c:majorTickMark val="none"/>
        <c:minorTickMark val="none"/>
        <c:tickLblPos val="nextTo"/>
        <c:crossAx val="-1761966688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CO" b="1">
                <a:solidFill>
                  <a:sysClr val="windowText" lastClr="000000"/>
                </a:solidFill>
              </a:rPr>
              <a:t>GASTOS</a:t>
            </a:r>
            <a:r>
              <a:rPr lang="es-CO" b="1" baseline="0">
                <a:solidFill>
                  <a:sysClr val="windowText" lastClr="000000"/>
                </a:solidFill>
              </a:rPr>
              <a:t> DE FUNCIONAMIENTO</a:t>
            </a:r>
            <a:endParaRPr lang="es-CO" b="1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9686856766887795E-2"/>
          <c:y val="0.17343394603916337"/>
          <c:w val="0.82229638370948954"/>
          <c:h val="0.4202231772393449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rgbClr val="FFC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rgbClr val="00FF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6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Hoja1!$B$28:$B$32</c:f>
              <c:strCache>
                <c:ptCount val="5"/>
                <c:pt idx="0">
                  <c:v>GASTOS DE PERSONAL APROBADO (CR)</c:v>
                </c:pt>
                <c:pt idx="1">
                  <c:v>GASTOS GENERALES APROBADOS (CR)</c:v>
                </c:pt>
                <c:pt idx="2">
                  <c:v>TRANSFERENCIAS CORRIENTES APROBADAS (CR)</c:v>
                </c:pt>
                <c:pt idx="3">
                  <c:v>GASTOS DE COMERCIALIZACION Y PRODUCCION APROBADOS (CR)</c:v>
                </c:pt>
                <c:pt idx="4">
                  <c:v>OTROS GASTOS DE FUNCIONAMIENTO APROBADOS (CR)</c:v>
                </c:pt>
              </c:strCache>
            </c:strRef>
          </c:cat>
          <c:val>
            <c:numRef>
              <c:f>Hoja1!$C$28:$C$32</c:f>
              <c:numCache>
                <c:formatCode>#,##0</c:formatCode>
                <c:ptCount val="5"/>
                <c:pt idx="0">
                  <c:v>7238411762</c:v>
                </c:pt>
                <c:pt idx="1">
                  <c:v>3580392255</c:v>
                </c:pt>
                <c:pt idx="2">
                  <c:v>35000000</c:v>
                </c:pt>
                <c:pt idx="3">
                  <c:v>3022214518</c:v>
                </c:pt>
                <c:pt idx="4">
                  <c:v>2367901934</c:v>
                </c:pt>
              </c:numCache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Hoja1!$B$28:$B$32</c:f>
              <c:strCache>
                <c:ptCount val="5"/>
                <c:pt idx="0">
                  <c:v>GASTOS DE PERSONAL APROBADO (CR)</c:v>
                </c:pt>
                <c:pt idx="1">
                  <c:v>GASTOS GENERALES APROBADOS (CR)</c:v>
                </c:pt>
                <c:pt idx="2">
                  <c:v>TRANSFERENCIAS CORRIENTES APROBADAS (CR)</c:v>
                </c:pt>
                <c:pt idx="3">
                  <c:v>GASTOS DE COMERCIALIZACION Y PRODUCCION APROBADOS (CR)</c:v>
                </c:pt>
                <c:pt idx="4">
                  <c:v>OTROS GASTOS DE FUNCIONAMIENTO APROBADOS (CR)</c:v>
                </c:pt>
              </c:strCache>
            </c:strRef>
          </c:cat>
          <c:val>
            <c:numRef>
              <c:f>Hoja1!$D$28:$D$32</c:f>
              <c:numCache>
                <c:formatCode>0.00%</c:formatCode>
                <c:ptCount val="5"/>
                <c:pt idx="0">
                  <c:v>0.44560743669078107</c:v>
                </c:pt>
                <c:pt idx="1">
                  <c:v>0.22041429357111439</c:v>
                </c:pt>
                <c:pt idx="2">
                  <c:v>2.1546522630909344E-3</c:v>
                </c:pt>
                <c:pt idx="3">
                  <c:v>0.18605203859299935</c:v>
                </c:pt>
                <c:pt idx="4">
                  <c:v>0.14577157888201428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026288592098576"/>
          <c:y val="0.58600109644761345"/>
          <c:w val="0.82232170217301515"/>
          <c:h val="0.38764265492510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F4DC-BE65-4BD7-AC64-5C27CD84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896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5</cp:revision>
  <cp:lastPrinted>2016-12-25T22:15:00Z</cp:lastPrinted>
  <dcterms:created xsi:type="dcterms:W3CDTF">2016-11-11T16:58:00Z</dcterms:created>
  <dcterms:modified xsi:type="dcterms:W3CDTF">2016-12-25T22:15:00Z</dcterms:modified>
</cp:coreProperties>
</file>